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F3D48" w:rsidR="00011076" w:rsidP="0076237D" w:rsidRDefault="00011076" w14:paraId="272875EE" w14:textId="77777777">
      <w:pPr>
        <w:spacing w:after="120"/>
        <w:rPr>
          <w:rFonts w:ascii="Arial" w:hAnsi="Arial" w:cs="Arial"/>
          <w:b/>
          <w:bCs/>
          <w:sz w:val="28"/>
          <w:szCs w:val="36"/>
        </w:rPr>
      </w:pPr>
    </w:p>
    <w:p w:rsidRPr="008915E7" w:rsidR="0086130E" w:rsidP="0076237D" w:rsidRDefault="009633E6" w14:paraId="66B1B799" w14:textId="259ACC00">
      <w:pPr>
        <w:spacing w:after="120"/>
        <w:rPr>
          <w:rFonts w:ascii="Whitney Black" w:hAnsi="Whitney Black" w:cs="Arial"/>
          <w:b/>
          <w:bCs/>
          <w:sz w:val="28"/>
          <w:szCs w:val="28"/>
        </w:rPr>
      </w:pPr>
      <w:r w:rsidRPr="008915E7">
        <w:rPr>
          <w:rFonts w:ascii="Whitney Black" w:hAnsi="Whitney Black" w:cs="Arial"/>
          <w:b/>
          <w:bCs/>
          <w:sz w:val="28"/>
          <w:szCs w:val="28"/>
        </w:rPr>
        <w:t>GIA Transfer Form</w:t>
      </w:r>
    </w:p>
    <w:p w:rsidRPr="008915E7" w:rsidR="25947E78" w:rsidP="25947E78" w:rsidRDefault="25947E78" w14:paraId="5AC74228" w14:textId="4023B804">
      <w:pPr>
        <w:rPr>
          <w:rFonts w:ascii="Whitney Light" w:hAnsi="Whitney Light" w:cs="Arial"/>
        </w:rPr>
      </w:pPr>
      <w:r w:rsidRPr="008915E7">
        <w:rPr>
          <w:rFonts w:ascii="Whitney Light" w:hAnsi="Whitney Light"/>
        </w:rPr>
        <w:br/>
      </w: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This form lets you transfer an existing General Investment Account (GIA) into a GIA with </w:t>
      </w:r>
      <w:r w:rsid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Söderberg &amp; Partners Wealth Management. </w:t>
      </w:r>
      <w:r w:rsidRPr="008915E7">
        <w:rPr>
          <w:rFonts w:ascii="Whitney Light" w:hAnsi="Whitney Light"/>
        </w:rPr>
        <w:br/>
      </w:r>
      <w:r w:rsidRPr="008915E7">
        <w:rPr>
          <w:rFonts w:ascii="Whitney Light" w:hAnsi="Whitney Light"/>
        </w:rPr>
        <w:br/>
      </w:r>
      <w:proofErr w:type="spellStart"/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>Seccl</w:t>
      </w:r>
      <w:proofErr w:type="spellEnd"/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Custody Limited (SCL) is the custodian in respect of the </w:t>
      </w:r>
      <w:r w:rsid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Söderberg &amp; Partners Wealth Management </w:t>
      </w: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GIA. </w:t>
      </w:r>
    </w:p>
    <w:p w:rsidRPr="008915E7" w:rsidR="25947E78" w:rsidRDefault="25947E78" w14:paraId="301DFADE" w14:textId="11602CE8">
      <w:pPr>
        <w:rPr>
          <w:rFonts w:ascii="Whitney Light" w:hAnsi="Whitney Light"/>
        </w:rPr>
      </w:pPr>
      <w:r>
        <w:br/>
      </w:r>
      <w:r w:rsidRPr="60CE375D" w:rsidR="25947E78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 xml:space="preserve">If you do not already have a </w:t>
      </w:r>
      <w:r w:rsidRPr="60CE375D" w:rsidR="008915E7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>Söderberg &amp; Partners Wealth Management</w:t>
      </w:r>
      <w:r w:rsidRPr="60CE375D" w:rsidR="25947E78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 xml:space="preserve"> </w:t>
      </w:r>
      <w:r w:rsidRPr="60CE375D" w:rsidR="12769B65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>GIA,</w:t>
      </w:r>
      <w:r w:rsidRPr="60CE375D" w:rsidR="25947E78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 xml:space="preserve"> you will need to apply for one before </w:t>
      </w:r>
      <w:r w:rsidRPr="60CE375D" w:rsidR="25947E78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>submitting</w:t>
      </w:r>
      <w:r w:rsidRPr="60CE375D" w:rsidR="25947E78"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  <w:t xml:space="preserve"> this form.</w:t>
      </w:r>
    </w:p>
    <w:p w:rsidRPr="008915E7" w:rsidR="25947E78" w:rsidRDefault="25947E78" w14:paraId="37F2A34E" w14:textId="18FC71C2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8915E7" w:rsidR="25947E78" w:rsidRDefault="25947E78" w14:paraId="6C614BA4" w14:textId="023D2BCE">
      <w:pPr>
        <w:rPr>
          <w:rFonts w:ascii="Whitney Black" w:hAnsi="Whitney Black"/>
        </w:rPr>
      </w:pPr>
      <w:r w:rsidRPr="008915E7">
        <w:rPr>
          <w:rFonts w:ascii="Whitney Black" w:hAnsi="Whitney Black" w:eastAsia="Arial" w:cs="Arial"/>
          <w:b/>
          <w:bCs/>
          <w:color w:val="000000" w:themeColor="text1"/>
          <w:sz w:val="21"/>
          <w:szCs w:val="21"/>
        </w:rPr>
        <w:t>Your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5"/>
        <w:gridCol w:w="5760"/>
      </w:tblGrid>
      <w:tr w:rsidRPr="008915E7" w:rsidR="25947E78" w:rsidTr="60CE375D" w14:paraId="374F090A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4BA2B78E" w14:textId="52BB9F37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Title (if any)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7F8B6981" w14:textId="2701DB2B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60CE375D" w14:paraId="5BFDACEA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26328BF4" w14:textId="32AE2E85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Full name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42125746" w14:textId="6095F78D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60CE375D" w14:paraId="345250EE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4690A0F2" w14:textId="2A1D6845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National insurance number 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5CF9AC78" w14:textId="304A2E27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60CE375D" w14:paraId="582F0767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1590DC27" w14:textId="62127B94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Date of birth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39B75B69" w14:textId="29111B3B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60CE375D" w14:paraId="7AF36D67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68DFB72E" w14:textId="2B79C302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Email address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08854DCA" w14:textId="3E527C3D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60CE375D" w14:paraId="5B532DFF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43CD802E" w14:textId="1B75592C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Permanent residential address</w:t>
            </w:r>
          </w:p>
          <w:p w:rsidRPr="008915E7" w:rsidR="25947E78" w:rsidRDefault="25947E78" w14:paraId="358CC2C1" w14:textId="22BB1FF9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Pr="008915E7" w:rsidR="25947E78" w:rsidRDefault="25947E78" w14:paraId="4E1D5225" w14:textId="62F09EEA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Pr="008915E7" w:rsidR="25947E78" w:rsidRDefault="25947E78" w14:paraId="2ED4CC63" w14:textId="4C1C2573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7ED6F95D" w14:textId="75C21F36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60CE375D" w14:paraId="4C53A6CA" w14:textId="77777777"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008915E7" w14:paraId="2B172D63" w14:textId="4FF6F373">
            <w:pPr>
              <w:rPr>
                <w:rFonts w:ascii="Whitney Light" w:hAnsi="Whitney Light"/>
              </w:rPr>
            </w:pPr>
            <w:r w:rsidRPr="60CE375D" w:rsidR="008915E7"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  <w:t xml:space="preserve">SPWM </w:t>
            </w:r>
            <w:r w:rsidRPr="60CE375D" w:rsidR="25947E78"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  <w:t>reference / account ID</w:t>
            </w:r>
          </w:p>
        </w:tc>
        <w:tc>
          <w:tcPr>
            <w:tcW w:w="5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77112B6B" w14:textId="5D987E82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Pr="008915E7" w:rsidR="25947E78" w:rsidRDefault="25947E78" w14:paraId="6FB8A509" w14:textId="75DFB588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8915E7" w:rsidR="25947E78" w:rsidRDefault="25947E78" w14:paraId="02ED25DC" w14:textId="6C8F0FE7">
      <w:pPr>
        <w:rPr>
          <w:rFonts w:ascii="Whitney Black" w:hAnsi="Whitney Black"/>
        </w:rPr>
      </w:pPr>
      <w:r w:rsidRPr="008915E7">
        <w:rPr>
          <w:rFonts w:ascii="Whitney Black" w:hAnsi="Whitney Black" w:eastAsia="Arial" w:cs="Arial"/>
          <w:b/>
          <w:bCs/>
          <w:color w:val="000000" w:themeColor="text1"/>
          <w:sz w:val="21"/>
          <w:szCs w:val="21"/>
        </w:rPr>
        <w:t xml:space="preserve">GIA Transfer Authority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90"/>
        <w:gridCol w:w="5610"/>
      </w:tblGrid>
      <w:tr w:rsidRPr="008915E7" w:rsidR="25947E78" w:rsidTr="25947E78" w14:paraId="031E9C2D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59AD966C" w14:textId="47462190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Current GIA provider 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389EF9AF" w14:textId="3465966A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25947E78" w14:paraId="6316A511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44942AA9" w14:textId="7EF8C962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Current GIA reference / account number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4613292E" w14:textId="5E74F197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25947E78" w14:paraId="1293A41B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3219C6F3" w14:textId="7462CF86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Partial or full transfer?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1C3E282F" w14:textId="538544F3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25947E78" w14:paraId="15237DA7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59473F30" w14:textId="092B12CC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Amount to transfer (if partial)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5E691693" w14:textId="7825F4E2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25947E78" w14:paraId="7460DF63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21194640" w14:textId="5FA113E2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In-specie or cash?</w:t>
            </w:r>
          </w:p>
        </w:tc>
        <w:tc>
          <w:tcPr>
            <w:tcW w:w="5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8915E7" w:rsidR="25947E78" w:rsidRDefault="25947E78" w14:paraId="7248A2E3" w14:textId="34482F75">
            <w:pPr>
              <w:rPr>
                <w:rFonts w:ascii="Whitney Light" w:hAnsi="Whitney Light"/>
              </w:rPr>
            </w:pPr>
          </w:p>
        </w:tc>
      </w:tr>
    </w:tbl>
    <w:p w:rsidRPr="008915E7" w:rsidR="25947E78" w:rsidRDefault="25947E78" w14:paraId="6365AD08" w14:textId="4C50FD0A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8915E7" w:rsidR="25947E78" w:rsidRDefault="25947E78" w14:paraId="38C1AACE" w14:textId="725D3B45">
      <w:pPr>
        <w:rPr>
          <w:rFonts w:ascii="Whitney Black" w:hAnsi="Whitney Black"/>
          <w:sz w:val="21"/>
          <w:szCs w:val="21"/>
        </w:rPr>
      </w:pPr>
      <w:r w:rsidRPr="008915E7">
        <w:rPr>
          <w:rFonts w:ascii="Whitney Black" w:hAnsi="Whitney Black" w:eastAsia="Arial" w:cs="Arial"/>
          <w:color w:val="000000" w:themeColor="text1"/>
          <w:sz w:val="21"/>
          <w:szCs w:val="21"/>
        </w:rPr>
        <w:t xml:space="preserve">Declaration </w:t>
      </w:r>
    </w:p>
    <w:p w:rsidRPr="008915E7" w:rsidR="25947E78" w:rsidP="25947E78" w:rsidRDefault="25947E78" w14:paraId="276B01A6" w14:textId="3705B6AE">
      <w:pPr>
        <w:rPr>
          <w:rFonts w:ascii="Whitney Light" w:hAnsi="Whitney Light" w:eastAsia="Arial" w:cs="Arial"/>
          <w:color w:val="000000" w:themeColor="text1"/>
          <w:sz w:val="21"/>
          <w:szCs w:val="21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I declare that: </w:t>
      </w:r>
    </w:p>
    <w:p w:rsidRPr="008915E7" w:rsidR="25947E78" w:rsidP="25947E78" w:rsidRDefault="25947E78" w14:paraId="219F5DAC" w14:textId="03429ECF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 xml:space="preserve">I have read and understood the </w:t>
      </w:r>
      <w:r w:rsidRPr="008915E7" w:rsidR="008915E7">
        <w:rPr>
          <w:rFonts w:ascii="Whitney Light" w:hAnsi="Whitney Light" w:eastAsia="Arial" w:cs="Arial"/>
          <w:szCs w:val="21"/>
        </w:rPr>
        <w:t>Söderberg &amp; Partners Wealth Management</w:t>
      </w:r>
      <w:r w:rsidRPr="008915E7">
        <w:rPr>
          <w:rFonts w:ascii="Whitney Light" w:hAnsi="Whitney Light" w:eastAsia="Arial" w:cs="Arial"/>
          <w:szCs w:val="21"/>
        </w:rPr>
        <w:t xml:space="preserve"> terms and </w:t>
      </w:r>
      <w:proofErr w:type="gramStart"/>
      <w:r w:rsidRPr="008915E7">
        <w:rPr>
          <w:rFonts w:ascii="Whitney Light" w:hAnsi="Whitney Light" w:eastAsia="Arial" w:cs="Arial"/>
          <w:szCs w:val="21"/>
        </w:rPr>
        <w:t>conditions;</w:t>
      </w:r>
      <w:proofErr w:type="gramEnd"/>
    </w:p>
    <w:p w:rsidRPr="008915E7" w:rsidR="25947E78" w:rsidP="25947E78" w:rsidRDefault="25947E78" w14:paraId="00E2F900" w14:textId="58B341EE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 xml:space="preserve">I give authority to </w:t>
      </w:r>
      <w:r w:rsidRPr="008915E7" w:rsidR="008915E7">
        <w:rPr>
          <w:rFonts w:ascii="Whitney Light" w:hAnsi="Whitney Light" w:eastAsia="Arial" w:cs="Arial"/>
          <w:szCs w:val="21"/>
        </w:rPr>
        <w:t>Söderberg &amp; Partners Wealth Management</w:t>
      </w:r>
      <w:r w:rsidRPr="008915E7">
        <w:rPr>
          <w:rFonts w:ascii="Whitney Light" w:hAnsi="Whitney Light" w:eastAsia="Arial" w:cs="Arial"/>
          <w:szCs w:val="21"/>
        </w:rPr>
        <w:t xml:space="preserve"> and the custodian (SCL) to transfer my </w:t>
      </w:r>
      <w:proofErr w:type="gramStart"/>
      <w:r w:rsidRPr="008915E7">
        <w:rPr>
          <w:rFonts w:ascii="Whitney Light" w:hAnsi="Whitney Light" w:eastAsia="Arial" w:cs="Arial"/>
          <w:szCs w:val="21"/>
        </w:rPr>
        <w:t>GIA;</w:t>
      </w:r>
      <w:proofErr w:type="gramEnd"/>
    </w:p>
    <w:p w:rsidRPr="008915E7" w:rsidR="25947E78" w:rsidP="25947E78" w:rsidRDefault="25947E78" w14:paraId="2B532F39" w14:textId="2BE58E09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 xml:space="preserve">Information provided in this application is correct to the best of my knowledge. I will notify </w:t>
      </w:r>
      <w:r w:rsidRPr="008915E7" w:rsidR="008915E7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8915E7">
        <w:rPr>
          <w:rFonts w:ascii="Whitney Light" w:hAnsi="Whitney Light" w:eastAsia="Arial" w:cs="Arial"/>
          <w:szCs w:val="21"/>
        </w:rPr>
        <w:t xml:space="preserve">of any changes to the information </w:t>
      </w:r>
      <w:proofErr w:type="gramStart"/>
      <w:r w:rsidRPr="008915E7">
        <w:rPr>
          <w:rFonts w:ascii="Whitney Light" w:hAnsi="Whitney Light" w:eastAsia="Arial" w:cs="Arial"/>
          <w:szCs w:val="21"/>
        </w:rPr>
        <w:t>provided;</w:t>
      </w:r>
      <w:proofErr w:type="gramEnd"/>
    </w:p>
    <w:p w:rsidRPr="008915E7" w:rsidR="25947E78" w:rsidP="25947E78" w:rsidRDefault="25947E78" w14:paraId="58F59D07" w14:textId="51AEAD22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 xml:space="preserve">I accept that </w:t>
      </w:r>
      <w:r w:rsidRPr="008915E7" w:rsidR="008915E7">
        <w:rPr>
          <w:rFonts w:ascii="Whitney Light" w:hAnsi="Whitney Light" w:eastAsia="Arial" w:cs="Arial"/>
          <w:szCs w:val="21"/>
        </w:rPr>
        <w:t>Söderberg &amp; Partners Wealth Management</w:t>
      </w:r>
      <w:r w:rsidRPr="008915E7">
        <w:rPr>
          <w:rFonts w:ascii="Whitney Light" w:hAnsi="Whitney Light" w:eastAsia="Arial" w:cs="Arial"/>
          <w:szCs w:val="21"/>
        </w:rPr>
        <w:t xml:space="preserve"> will not be liable to any losses incurred as a result of any delays in the transfer to my </w:t>
      </w:r>
      <w:r w:rsidRPr="008915E7" w:rsidR="008915E7">
        <w:rPr>
          <w:rFonts w:ascii="Whitney Light" w:hAnsi="Whitney Light" w:eastAsia="Arial" w:cs="Arial"/>
          <w:szCs w:val="21"/>
        </w:rPr>
        <w:t xml:space="preserve">Söderberg &amp; Partners Wealth Management </w:t>
      </w:r>
      <w:proofErr w:type="gramStart"/>
      <w:r w:rsidRPr="008915E7">
        <w:rPr>
          <w:rFonts w:ascii="Whitney Light" w:hAnsi="Whitney Light" w:eastAsia="Arial" w:cs="Arial"/>
          <w:szCs w:val="21"/>
        </w:rPr>
        <w:t>GIA;</w:t>
      </w:r>
      <w:proofErr w:type="gramEnd"/>
    </w:p>
    <w:p w:rsidRPr="008915E7" w:rsidR="25947E78" w:rsidP="25947E78" w:rsidRDefault="25947E78" w14:paraId="77AA136E" w14:textId="615C1C34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 xml:space="preserve">I am the beneficial owner of any assets being transferred and will remain so once the asset </w:t>
      </w:r>
      <w:proofErr w:type="gramStart"/>
      <w:r w:rsidRPr="008915E7">
        <w:rPr>
          <w:rFonts w:ascii="Whitney Light" w:hAnsi="Whitney Light" w:eastAsia="Arial" w:cs="Arial"/>
          <w:szCs w:val="21"/>
        </w:rPr>
        <w:t>have</w:t>
      </w:r>
      <w:proofErr w:type="gramEnd"/>
      <w:r w:rsidRPr="008915E7">
        <w:rPr>
          <w:rFonts w:ascii="Whitney Light" w:hAnsi="Whitney Light" w:eastAsia="Arial" w:cs="Arial"/>
          <w:szCs w:val="21"/>
        </w:rPr>
        <w:t xml:space="preserve"> moved into the </w:t>
      </w:r>
      <w:r w:rsidRPr="008915E7" w:rsidR="008915E7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8915E7">
        <w:rPr>
          <w:rFonts w:ascii="Whitney Light" w:hAnsi="Whitney Light" w:eastAsia="Arial" w:cs="Arial"/>
          <w:szCs w:val="21"/>
        </w:rPr>
        <w:t>GIA;</w:t>
      </w:r>
    </w:p>
    <w:p w:rsidR="25947E78" w:rsidP="25947E78" w:rsidRDefault="25947E78" w14:paraId="481193FF" w14:textId="5BF3C589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 xml:space="preserve">I accept that </w:t>
      </w:r>
      <w:r w:rsidRPr="008915E7" w:rsidR="008915E7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8915E7">
        <w:rPr>
          <w:rFonts w:ascii="Whitney Light" w:hAnsi="Whitney Light" w:eastAsia="Arial" w:cs="Arial"/>
          <w:szCs w:val="21"/>
        </w:rPr>
        <w:t xml:space="preserve">will not be liable to any costs or fees levied by the existing GIA </w:t>
      </w:r>
      <w:proofErr w:type="gramStart"/>
      <w:r w:rsidRPr="008915E7">
        <w:rPr>
          <w:rFonts w:ascii="Whitney Light" w:hAnsi="Whitney Light" w:eastAsia="Arial" w:cs="Arial"/>
          <w:szCs w:val="21"/>
        </w:rPr>
        <w:t>custodian;</w:t>
      </w:r>
      <w:proofErr w:type="gramEnd"/>
      <w:r w:rsidRPr="008915E7">
        <w:rPr>
          <w:rFonts w:ascii="Whitney Light" w:hAnsi="Whitney Light" w:eastAsia="Arial" w:cs="Arial"/>
          <w:szCs w:val="21"/>
        </w:rPr>
        <w:t xml:space="preserve"> </w:t>
      </w:r>
    </w:p>
    <w:p w:rsidRPr="008915E7" w:rsidR="008915E7" w:rsidP="008915E7" w:rsidRDefault="008915E7" w14:paraId="21AEDB1C" w14:textId="77777777">
      <w:pPr>
        <w:pStyle w:val="ListParagraph"/>
        <w:rPr>
          <w:rFonts w:ascii="Whitney Light" w:hAnsi="Whitney Light" w:eastAsia="Arial" w:cs="Arial"/>
          <w:szCs w:val="21"/>
        </w:rPr>
      </w:pPr>
    </w:p>
    <w:p w:rsidRPr="008915E7" w:rsidR="25947E78" w:rsidP="25947E78" w:rsidRDefault="25947E78" w14:paraId="39A270A6" w14:textId="7AA30395">
      <w:pPr>
        <w:rPr>
          <w:rFonts w:ascii="Whitney Black" w:hAnsi="Whitney Black" w:eastAsia="Arial" w:cs="Arial"/>
          <w:color w:val="000000" w:themeColor="text1"/>
          <w:sz w:val="21"/>
          <w:szCs w:val="21"/>
        </w:rPr>
      </w:pPr>
      <w:r w:rsidRPr="008915E7">
        <w:rPr>
          <w:rFonts w:ascii="Whitney Black" w:hAnsi="Whitney Black" w:eastAsia="Arial" w:cs="Arial"/>
          <w:color w:val="000000" w:themeColor="text1"/>
          <w:sz w:val="21"/>
          <w:szCs w:val="21"/>
        </w:rPr>
        <w:t>Transfer Instruction</w:t>
      </w:r>
    </w:p>
    <w:p w:rsidRPr="008915E7" w:rsidR="25947E78" w:rsidP="25947E78" w:rsidRDefault="25947E78" w14:paraId="40BB2EAF" w14:textId="0A7818FF">
      <w:pPr>
        <w:rPr>
          <w:rFonts w:ascii="Whitney Light" w:hAnsi="Whitney Light" w:eastAsia="Arial" w:cs="Arial"/>
          <w:color w:val="000000" w:themeColor="text1"/>
          <w:sz w:val="21"/>
          <w:szCs w:val="21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I hereby authorise my existing GIA provider to: </w:t>
      </w:r>
    </w:p>
    <w:p w:rsidRPr="008915E7" w:rsidR="25947E78" w:rsidP="25947E78" w:rsidRDefault="25947E78" w14:paraId="6A686E5E" w14:textId="3590AB78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 xml:space="preserve">Transfer my existing GIA as specified to </w:t>
      </w:r>
      <w:r w:rsidRPr="008915E7" w:rsidR="008915E7">
        <w:rPr>
          <w:rFonts w:ascii="Whitney Light" w:hAnsi="Whitney Light" w:eastAsia="Arial" w:cs="Arial"/>
          <w:szCs w:val="21"/>
        </w:rPr>
        <w:t xml:space="preserve">Söderberg &amp; Partners Wealth </w:t>
      </w:r>
      <w:proofErr w:type="gramStart"/>
      <w:r w:rsidRPr="008915E7" w:rsidR="008915E7">
        <w:rPr>
          <w:rFonts w:ascii="Whitney Light" w:hAnsi="Whitney Light" w:eastAsia="Arial" w:cs="Arial"/>
          <w:szCs w:val="21"/>
        </w:rPr>
        <w:t>Management</w:t>
      </w:r>
      <w:r w:rsidRPr="008915E7">
        <w:rPr>
          <w:rFonts w:ascii="Whitney Light" w:hAnsi="Whitney Light" w:eastAsia="Arial" w:cs="Arial"/>
          <w:szCs w:val="21"/>
        </w:rPr>
        <w:t>;</w:t>
      </w:r>
      <w:proofErr w:type="gramEnd"/>
    </w:p>
    <w:p w:rsidRPr="008915E7" w:rsidR="25947E78" w:rsidP="25947E78" w:rsidRDefault="25947E78" w14:paraId="62979888" w14:textId="35A91443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 xml:space="preserve">Provide any information necessary to </w:t>
      </w:r>
      <w:r w:rsidRPr="008915E7" w:rsidR="008915E7">
        <w:rPr>
          <w:rFonts w:ascii="Whitney Light" w:hAnsi="Whitney Light" w:eastAsia="Arial" w:cs="Arial"/>
          <w:szCs w:val="21"/>
        </w:rPr>
        <w:t xml:space="preserve">Söderberg &amp; Partners Wealth Management </w:t>
      </w:r>
      <w:r w:rsidRPr="008915E7">
        <w:rPr>
          <w:rFonts w:ascii="Whitney Light" w:hAnsi="Whitney Light" w:eastAsia="Arial" w:cs="Arial"/>
          <w:szCs w:val="21"/>
        </w:rPr>
        <w:t xml:space="preserve">and SCL to facilitate the </w:t>
      </w:r>
      <w:proofErr w:type="gramStart"/>
      <w:r w:rsidRPr="008915E7">
        <w:rPr>
          <w:rFonts w:ascii="Whitney Light" w:hAnsi="Whitney Light" w:eastAsia="Arial" w:cs="Arial"/>
          <w:szCs w:val="21"/>
        </w:rPr>
        <w:t>transfer;</w:t>
      </w:r>
      <w:proofErr w:type="gramEnd"/>
    </w:p>
    <w:p w:rsidRPr="008915E7" w:rsidR="25947E78" w:rsidP="25947E78" w:rsidRDefault="25947E78" w14:paraId="7482E097" w14:textId="1938CE31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 xml:space="preserve">Cancel any direct debits currently in place with immediate </w:t>
      </w:r>
      <w:proofErr w:type="gramStart"/>
      <w:r w:rsidRPr="008915E7">
        <w:rPr>
          <w:rFonts w:ascii="Whitney Light" w:hAnsi="Whitney Light" w:eastAsia="Arial" w:cs="Arial"/>
          <w:szCs w:val="21"/>
        </w:rPr>
        <w:t>effect;</w:t>
      </w:r>
      <w:proofErr w:type="gramEnd"/>
    </w:p>
    <w:p w:rsidRPr="008915E7" w:rsidR="25947E78" w:rsidP="25947E78" w:rsidRDefault="25947E78" w14:paraId="03F7C0C7" w14:textId="2B5B0F23">
      <w:pPr>
        <w:pStyle w:val="ListParagraph"/>
        <w:numPr>
          <w:ilvl w:val="0"/>
          <w:numId w:val="1"/>
        </w:numPr>
        <w:rPr>
          <w:rFonts w:ascii="Whitney Light" w:hAnsi="Whitney Light" w:eastAsia="Arial" w:cs="Arial"/>
          <w:szCs w:val="21"/>
        </w:rPr>
      </w:pPr>
      <w:r w:rsidRPr="008915E7">
        <w:rPr>
          <w:rFonts w:ascii="Whitney Light" w:hAnsi="Whitney Light" w:eastAsia="Arial" w:cs="Arial"/>
          <w:szCs w:val="21"/>
        </w:rPr>
        <w:t>Deduct any charges for the transfer as specified within your terms and conditions.</w:t>
      </w:r>
    </w:p>
    <w:p w:rsidRPr="008915E7" w:rsidR="25947E78" w:rsidRDefault="25947E78" w14:paraId="16D730E6" w14:textId="2AE49848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8915E7" w:rsidR="25947E78" w:rsidRDefault="25947E78" w14:paraId="557E4FF8" w14:textId="69D07D37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I have read and agreed to the declaration above: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5895"/>
      </w:tblGrid>
      <w:tr w:rsidRPr="008915E7" w:rsidR="25947E78" w:rsidTr="60CE375D" w14:paraId="553AB893" w14:textId="77777777"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5DB45CBA" w14:textId="2018E6A6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Name </w:t>
            </w:r>
          </w:p>
        </w:tc>
        <w:tc>
          <w:tcPr>
            <w:tcW w:w="5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5DC9A873" w14:textId="6CAE80AA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60CE375D" w14:paraId="2808EBFC" w14:textId="77777777"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60CF9B80" w14:textId="514A79C0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Date</w:t>
            </w:r>
          </w:p>
        </w:tc>
        <w:tc>
          <w:tcPr>
            <w:tcW w:w="5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4A80DF7C" w14:textId="46869664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Pr="008915E7" w:rsidR="25947E78" w:rsidTr="60CE375D" w14:paraId="184EC476" w14:textId="77777777"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RDefault="25947E78" w14:paraId="224E92B6" w14:textId="5D737A3E">
            <w:pPr>
              <w:rPr>
                <w:rFonts w:ascii="Whitney Light" w:hAnsi="Whitney Light"/>
              </w:rPr>
            </w:pPr>
            <w:r w:rsidRPr="008915E7">
              <w:rPr>
                <w:rFonts w:ascii="Whitney Light" w:hAnsi="Whitney Light" w:eastAsia="Arial" w:cs="Arial"/>
                <w:color w:val="000000" w:themeColor="text1"/>
                <w:sz w:val="21"/>
                <w:szCs w:val="21"/>
              </w:rPr>
              <w:t>Signature</w:t>
            </w:r>
          </w:p>
        </w:tc>
        <w:tc>
          <w:tcPr>
            <w:tcW w:w="5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915E7" w:rsidR="25947E78" w:rsidP="60CE375D" w:rsidRDefault="25947E78" w14:noSpellErr="1" w14:paraId="47AB78A2" w14:textId="781508A3">
            <w:pPr>
              <w:rPr>
                <w:rFonts w:ascii="Whitney Light" w:hAnsi="Whitney Light"/>
              </w:rPr>
            </w:pPr>
            <w:r w:rsidRPr="60CE375D" w:rsidR="25947E78"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  <w:t xml:space="preserve"> </w:t>
            </w:r>
          </w:p>
          <w:p w:rsidRPr="008915E7" w:rsidR="25947E78" w:rsidP="60CE375D" w:rsidRDefault="25947E78" w14:paraId="68D826DE" w14:textId="0132D9CB">
            <w:pPr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</w:pPr>
          </w:p>
          <w:p w:rsidRPr="008915E7" w:rsidR="25947E78" w:rsidP="60CE375D" w:rsidRDefault="25947E78" w14:paraId="4EEEFE62" w14:textId="0CF0A80E">
            <w:pPr>
              <w:rPr>
                <w:rFonts w:ascii="Whitney Light" w:hAnsi="Whitney Light" w:eastAsia="Arial" w:cs="Arial"/>
                <w:color w:val="000000" w:themeColor="text1" w:themeTint="FF" w:themeShade="FF"/>
                <w:sz w:val="21"/>
                <w:szCs w:val="21"/>
              </w:rPr>
            </w:pPr>
          </w:p>
        </w:tc>
      </w:tr>
    </w:tbl>
    <w:p w:rsidRPr="008915E7" w:rsidR="25947E78" w:rsidRDefault="25947E78" w14:paraId="1E58D6DB" w14:textId="474FDF34">
      <w:pPr>
        <w:rPr>
          <w:rFonts w:ascii="Whitney Black" w:hAnsi="Whitney Black"/>
        </w:rPr>
      </w:pPr>
      <w:r w:rsidRPr="008915E7">
        <w:rPr>
          <w:rFonts w:ascii="Whitney Black" w:hAnsi="Whitney Black" w:eastAsia="Arial" w:cs="Arial"/>
          <w:color w:val="000000" w:themeColor="text1"/>
          <w:sz w:val="21"/>
          <w:szCs w:val="21"/>
        </w:rPr>
        <w:t xml:space="preserve"> </w:t>
      </w:r>
    </w:p>
    <w:p w:rsidRPr="008915E7" w:rsidR="25947E78" w:rsidRDefault="25947E78" w14:paraId="52BDD020" w14:textId="22221475">
      <w:pPr>
        <w:rPr>
          <w:rFonts w:ascii="Whitney Black" w:hAnsi="Whitney Black"/>
        </w:rPr>
      </w:pPr>
      <w:r w:rsidRPr="008915E7">
        <w:rPr>
          <w:rFonts w:ascii="Whitney Black" w:hAnsi="Whitney Black" w:eastAsia="Arial" w:cs="Arial"/>
          <w:color w:val="000000" w:themeColor="text1"/>
          <w:sz w:val="21"/>
          <w:szCs w:val="21"/>
        </w:rPr>
        <w:t xml:space="preserve">Transfer Acceptance </w:t>
      </w:r>
    </w:p>
    <w:p w:rsidRPr="008915E7" w:rsidR="25947E78" w:rsidRDefault="25947E78" w14:paraId="73EB2400" w14:textId="7818AB73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i/>
          <w:iCs/>
          <w:color w:val="000000" w:themeColor="text1"/>
          <w:sz w:val="21"/>
          <w:szCs w:val="21"/>
        </w:rPr>
        <w:t xml:space="preserve">For the attention of the ceding provider. </w:t>
      </w:r>
    </w:p>
    <w:p w:rsidRPr="008915E7" w:rsidR="25947E78" w:rsidRDefault="25947E78" w14:paraId="236B3111" w14:textId="0C77355B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</w:t>
      </w:r>
    </w:p>
    <w:p w:rsidRPr="008915E7" w:rsidR="25947E78" w:rsidRDefault="25947E78" w14:paraId="3E121A9D" w14:textId="274D3EBA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Please make the payment to the following details: </w:t>
      </w:r>
    </w:p>
    <w:p w:rsidRPr="008915E7" w:rsidR="25947E78" w:rsidRDefault="25947E78" w14:paraId="184EDB05" w14:textId="15749632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Account Name:            </w:t>
      </w:r>
      <w:proofErr w:type="spellStart"/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>Seccl</w:t>
      </w:r>
      <w:proofErr w:type="spellEnd"/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Custody </w:t>
      </w:r>
    </w:p>
    <w:p w:rsidRPr="008915E7" w:rsidR="25947E78" w:rsidRDefault="25947E78" w14:paraId="411FBC74" w14:textId="55500E24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>Account Number:         17190968</w:t>
      </w:r>
    </w:p>
    <w:p w:rsidRPr="008915E7" w:rsidR="25947E78" w:rsidRDefault="25947E78" w14:paraId="01211EA4" w14:textId="2AD39CCA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Sort Code:                  </w:t>
      </w:r>
      <w:r w:rsidR="00CE417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  </w:t>
      </w: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 308012</w:t>
      </w:r>
    </w:p>
    <w:p w:rsidRPr="008915E7" w:rsidR="25947E78" w:rsidRDefault="25947E78" w14:paraId="54D0E499" w14:textId="7A386416">
      <w:pPr>
        <w:rPr>
          <w:rFonts w:ascii="Whitney Light" w:hAnsi="Whitney Light"/>
        </w:rPr>
      </w:pPr>
      <w:r w:rsidRPr="008915E7">
        <w:rPr>
          <w:rFonts w:ascii="Whitney Light" w:hAnsi="Whitney Light" w:eastAsia="Arial" w:cs="Arial"/>
          <w:color w:val="000000" w:themeColor="text1"/>
          <w:sz w:val="21"/>
          <w:szCs w:val="21"/>
        </w:rPr>
        <w:t xml:space="preserve">Payment Reference:     </w:t>
      </w:r>
      <w:r w:rsidRPr="008915E7">
        <w:rPr>
          <w:rFonts w:ascii="Whitney Light" w:hAnsi="Whitney Light" w:eastAsia="Arial" w:cs="Arial"/>
          <w:color w:val="FF0000"/>
          <w:sz w:val="21"/>
          <w:szCs w:val="21"/>
        </w:rPr>
        <w:t xml:space="preserve">* insert </w:t>
      </w:r>
      <w:r w:rsidR="00C60D09">
        <w:rPr>
          <w:rFonts w:ascii="Whitney Light" w:hAnsi="Whitney Light" w:eastAsia="Arial" w:cs="Arial"/>
          <w:color w:val="FF0000"/>
          <w:sz w:val="21"/>
          <w:szCs w:val="21"/>
        </w:rPr>
        <w:t>SPWM</w:t>
      </w:r>
      <w:r w:rsidRPr="008915E7">
        <w:rPr>
          <w:rFonts w:ascii="Whitney Light" w:hAnsi="Whitney Light" w:eastAsia="Arial" w:cs="Arial"/>
          <w:color w:val="FF0000"/>
          <w:sz w:val="21"/>
          <w:szCs w:val="21"/>
        </w:rPr>
        <w:t xml:space="preserve"> Account ID*</w:t>
      </w:r>
    </w:p>
    <w:p w:rsidRPr="008915E7" w:rsidR="25947E78" w:rsidRDefault="25947E78" w14:paraId="0A0602E6" w14:textId="25F76A40">
      <w:pPr>
        <w:rPr>
          <w:rFonts w:ascii="Whitney Light" w:hAnsi="Whitney Light"/>
        </w:rPr>
      </w:pPr>
      <w:r w:rsidRPr="60CE375D" w:rsidR="25947E78">
        <w:rPr>
          <w:rFonts w:ascii="Whitney Light" w:hAnsi="Whitney Light" w:eastAsia="Arial" w:cs="Arial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</w:p>
    <w:p w:rsidR="5481ACF7" w:rsidP="60CE375D" w:rsidRDefault="5481ACF7" w14:paraId="36B4AAF4" w14:textId="1B7802E0">
      <w:pPr>
        <w:spacing w:after="120"/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0CE375D" w:rsidR="5481ACF7"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Please note, we </w:t>
      </w:r>
      <w:r w:rsidRPr="60CE375D" w:rsidR="5481ACF7"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single"/>
          <w:lang w:val="en-GB"/>
        </w:rPr>
        <w:t>do not</w:t>
      </w:r>
      <w:r w:rsidRPr="60CE375D" w:rsidR="5481ACF7"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 accept payment by cheque.  </w:t>
      </w:r>
    </w:p>
    <w:p w:rsidR="5481ACF7" w:rsidP="60CE375D" w:rsidRDefault="5481ACF7" w14:paraId="7A7140B5" w14:textId="00DFABC9">
      <w:pPr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</w:pPr>
      <w:r w:rsidRPr="60CE375D" w:rsidR="5481ACF7">
        <w:rPr>
          <w:rFonts w:ascii="Whitney Light" w:hAnsi="Whitney Light" w:eastAsia="Whitney Light" w:cs="Whitney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GB"/>
        </w:rPr>
        <w:t xml:space="preserve">Please send all correspondence relating to the transfer to </w:t>
      </w:r>
      <w:hyperlink r:id="R51f5e6fdffc04bb9">
        <w:r w:rsidRPr="60CE375D" w:rsidR="5481ACF7">
          <w:rPr>
            <w:rStyle w:val="Hyperlink"/>
            <w:rFonts w:ascii="Whitney Light" w:hAnsi="Whitney Light" w:eastAsia="Whitney Light" w:cs="Whitney Ligh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GB"/>
          </w:rPr>
          <w:t>servicecentre@soderbergpartners.com.</w:t>
        </w:r>
      </w:hyperlink>
    </w:p>
    <w:p w:rsidR="60CE375D" w:rsidP="60CE375D" w:rsidRDefault="60CE375D" w14:paraId="299EB6E2" w14:textId="04A3F435">
      <w:pPr>
        <w:rPr>
          <w:rFonts w:ascii="Whitney Light" w:hAnsi="Whitney Light" w:eastAsia="Arial" w:cs="Arial"/>
          <w:color w:val="000000" w:themeColor="text1" w:themeTint="FF" w:themeShade="FF"/>
          <w:sz w:val="21"/>
          <w:szCs w:val="21"/>
        </w:rPr>
      </w:pPr>
    </w:p>
    <w:p w:rsidR="25947E78" w:rsidP="25947E78" w:rsidRDefault="25947E78" w14:paraId="030837C9" w14:textId="4E2685E9">
      <w:pPr>
        <w:spacing w:after="120"/>
        <w:rPr>
          <w:color w:val="000000" w:themeColor="text1"/>
        </w:rPr>
      </w:pPr>
    </w:p>
    <w:p w:rsidR="002A29F5" w:rsidP="0076237D" w:rsidRDefault="002A29F5" w14:paraId="27D24D1A" w14:textId="49E4A1F5">
      <w:pPr>
        <w:spacing w:after="120"/>
        <w:rPr>
          <w:rFonts w:ascii="Arial" w:hAnsi="Arial" w:cs="Arial"/>
        </w:rPr>
      </w:pPr>
    </w:p>
    <w:p w:rsidR="002A29F5" w:rsidP="0076237D" w:rsidRDefault="002A29F5" w14:paraId="632600BB" w14:textId="43F6DFC6">
      <w:pPr>
        <w:spacing w:after="120"/>
        <w:rPr>
          <w:rFonts w:ascii="Arial" w:hAnsi="Arial" w:cs="Arial"/>
        </w:rPr>
      </w:pPr>
    </w:p>
    <w:p w:rsidR="002A29F5" w:rsidP="0076237D" w:rsidRDefault="002A29F5" w14:paraId="70F38099" w14:textId="48996D56">
      <w:pPr>
        <w:spacing w:after="120"/>
        <w:rPr>
          <w:rFonts w:ascii="Arial" w:hAnsi="Arial" w:cs="Arial"/>
        </w:rPr>
      </w:pPr>
    </w:p>
    <w:p w:rsidR="002A29F5" w:rsidP="0076237D" w:rsidRDefault="002A29F5" w14:paraId="41044A8B" w14:textId="5CAC8937">
      <w:pPr>
        <w:spacing w:after="120"/>
        <w:rPr>
          <w:rFonts w:ascii="Arial" w:hAnsi="Arial" w:cs="Arial"/>
        </w:rPr>
      </w:pPr>
    </w:p>
    <w:p w:rsidRPr="005F3D48" w:rsidR="0024062B" w:rsidP="0076237D" w:rsidRDefault="0024062B" w14:paraId="3CEB8E81" w14:textId="77777777">
      <w:pPr>
        <w:spacing w:after="120"/>
        <w:rPr>
          <w:rFonts w:ascii="Arial" w:hAnsi="Arial" w:cs="Arial"/>
        </w:rPr>
      </w:pPr>
    </w:p>
    <w:sectPr w:rsidRPr="005F3D48" w:rsidR="0024062B" w:rsidSect="00474F36">
      <w:headerReference w:type="default" r:id="rId11"/>
      <w:footerReference w:type="default" r:id="rId12"/>
      <w:pgSz w:w="11900" w:h="16840" w:orient="portrait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5390" w:rsidP="00C11414" w:rsidRDefault="00495390" w14:paraId="26989BF6" w14:textId="77777777">
      <w:r>
        <w:separator/>
      </w:r>
    </w:p>
  </w:endnote>
  <w:endnote w:type="continuationSeparator" w:id="0">
    <w:p w:rsidR="00495390" w:rsidP="00C11414" w:rsidRDefault="00495390" w14:paraId="75FFE56E" w14:textId="77777777">
      <w:r>
        <w:continuationSeparator/>
      </w:r>
    </w:p>
  </w:endnote>
  <w:endnote w:type="continuationNotice" w:id="1">
    <w:p w:rsidR="00495390" w:rsidRDefault="00495390" w14:paraId="08D495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 Headline Light">
    <w:altName w:val="Calibri"/>
    <w:charset w:val="4D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ney Black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C6D42" w:rsidR="008915E7" w:rsidP="008915E7" w:rsidRDefault="4DB25F80" w14:paraId="3D686D51" w14:textId="58751A11">
    <w:pPr>
      <w:rPr>
        <w:rFonts w:ascii="Whitney Light" w:hAnsi="Whitney Light"/>
        <w:sz w:val="16"/>
        <w:szCs w:val="16"/>
      </w:rPr>
    </w:pPr>
    <w:r w:rsidRPr="4DB25F80">
      <w:rPr>
        <w:rFonts w:ascii="Whitney Light" w:hAnsi="Whitney Light"/>
        <w:sz w:val="16"/>
        <w:szCs w:val="16"/>
      </w:rPr>
      <w:t>Söderberg &amp; Partners Wealth Management Ltd is a private limited company registered in the United Kingdom, registration number 14035487. Söderberg &amp; Partners Wealth Management Ltd is authorised and regulated by the Financial Conduct Authority, register number 995131.</w:t>
    </w:r>
  </w:p>
  <w:p w:rsidR="00353433" w:rsidP="009D0CF8" w:rsidRDefault="00353433" w14:paraId="09909880" w14:textId="6324195C">
    <w:pPr>
      <w:pStyle w:val="Footer"/>
    </w:pPr>
  </w:p>
  <w:p w:rsidR="00353433" w:rsidP="0086130E" w:rsidRDefault="00353433" w14:paraId="5A4B903E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5390" w:rsidP="00C11414" w:rsidRDefault="00495390" w14:paraId="62DD8C9E" w14:textId="77777777">
      <w:r>
        <w:separator/>
      </w:r>
    </w:p>
  </w:footnote>
  <w:footnote w:type="continuationSeparator" w:id="0">
    <w:p w:rsidR="00495390" w:rsidP="00C11414" w:rsidRDefault="00495390" w14:paraId="0AD02903" w14:textId="77777777">
      <w:r>
        <w:continuationSeparator/>
      </w:r>
    </w:p>
  </w:footnote>
  <w:footnote w:type="continuationNotice" w:id="1">
    <w:p w:rsidR="00495390" w:rsidRDefault="00495390" w14:paraId="36AC31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5C734DB9" w:rsidP="008915E7" w:rsidRDefault="008915E7" w14:paraId="1521DC4E" w14:textId="615C0032">
    <w:pPr>
      <w:pStyle w:val="Header"/>
      <w:jc w:val="center"/>
      <w:rPr>
        <w:szCs w:val="21"/>
      </w:rPr>
    </w:pPr>
    <w:r>
      <w:rPr>
        <w:noProof/>
        <w:szCs w:val="21"/>
      </w:rPr>
      <w:drawing>
        <wp:inline distT="0" distB="0" distL="0" distR="0" wp14:anchorId="218072E8" wp14:editId="01B293FD">
          <wp:extent cx="4134062" cy="800141"/>
          <wp:effectExtent l="0" t="0" r="0" b="0"/>
          <wp:docPr id="2" name="Picture 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4062" cy="80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B28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1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0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A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C0A1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61AF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620A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C16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2977E56"/>
    <w:multiLevelType w:val="hybridMultilevel"/>
    <w:tmpl w:val="CE2269CA"/>
    <w:lvl w:ilvl="0" w:tplc="8C18082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883E00"/>
    <w:multiLevelType w:val="hybridMultilevel"/>
    <w:tmpl w:val="7FE04308"/>
    <w:lvl w:ilvl="0" w:tplc="1A34C3B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4804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1A9B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0063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4A6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2EB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5A8E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2A8D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52B1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5595798">
    <w:abstractNumId w:val="11"/>
  </w:num>
  <w:num w:numId="2" w16cid:durableId="947197296">
    <w:abstractNumId w:val="0"/>
  </w:num>
  <w:num w:numId="3" w16cid:durableId="693846869">
    <w:abstractNumId w:val="1"/>
  </w:num>
  <w:num w:numId="4" w16cid:durableId="435714143">
    <w:abstractNumId w:val="2"/>
  </w:num>
  <w:num w:numId="5" w16cid:durableId="1794446998">
    <w:abstractNumId w:val="3"/>
  </w:num>
  <w:num w:numId="6" w16cid:durableId="82535229">
    <w:abstractNumId w:val="8"/>
  </w:num>
  <w:num w:numId="7" w16cid:durableId="240456114">
    <w:abstractNumId w:val="4"/>
  </w:num>
  <w:num w:numId="8" w16cid:durableId="1114636701">
    <w:abstractNumId w:val="5"/>
  </w:num>
  <w:num w:numId="9" w16cid:durableId="2059277276">
    <w:abstractNumId w:val="6"/>
  </w:num>
  <w:num w:numId="10" w16cid:durableId="2124613401">
    <w:abstractNumId w:val="7"/>
  </w:num>
  <w:num w:numId="11" w16cid:durableId="399256125">
    <w:abstractNumId w:val="9"/>
  </w:num>
  <w:num w:numId="12" w16cid:durableId="154615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AC"/>
    <w:rsid w:val="00011076"/>
    <w:rsid w:val="000332E0"/>
    <w:rsid w:val="0004081F"/>
    <w:rsid w:val="001205F5"/>
    <w:rsid w:val="001B5364"/>
    <w:rsid w:val="001E48B3"/>
    <w:rsid w:val="00212C18"/>
    <w:rsid w:val="00214268"/>
    <w:rsid w:val="00217613"/>
    <w:rsid w:val="002209DB"/>
    <w:rsid w:val="0024062B"/>
    <w:rsid w:val="002424B1"/>
    <w:rsid w:val="002A29F5"/>
    <w:rsid w:val="002A4091"/>
    <w:rsid w:val="002E5706"/>
    <w:rsid w:val="002E75D0"/>
    <w:rsid w:val="00353433"/>
    <w:rsid w:val="003820D2"/>
    <w:rsid w:val="0045636B"/>
    <w:rsid w:val="00474F36"/>
    <w:rsid w:val="00495390"/>
    <w:rsid w:val="004A548F"/>
    <w:rsid w:val="004C1BD6"/>
    <w:rsid w:val="004E1035"/>
    <w:rsid w:val="00546422"/>
    <w:rsid w:val="00567C24"/>
    <w:rsid w:val="005B10C9"/>
    <w:rsid w:val="005D61AC"/>
    <w:rsid w:val="005F3D48"/>
    <w:rsid w:val="00686934"/>
    <w:rsid w:val="006B2327"/>
    <w:rsid w:val="006B6285"/>
    <w:rsid w:val="007310FF"/>
    <w:rsid w:val="0076237D"/>
    <w:rsid w:val="00772920"/>
    <w:rsid w:val="00773827"/>
    <w:rsid w:val="00775475"/>
    <w:rsid w:val="007B36B0"/>
    <w:rsid w:val="007F01F2"/>
    <w:rsid w:val="00836BC3"/>
    <w:rsid w:val="0086130E"/>
    <w:rsid w:val="00864A84"/>
    <w:rsid w:val="008767D9"/>
    <w:rsid w:val="00877569"/>
    <w:rsid w:val="008915E7"/>
    <w:rsid w:val="00893CB8"/>
    <w:rsid w:val="008A657D"/>
    <w:rsid w:val="00907BCD"/>
    <w:rsid w:val="009633E6"/>
    <w:rsid w:val="009A12A6"/>
    <w:rsid w:val="009D0CF8"/>
    <w:rsid w:val="009E1FFA"/>
    <w:rsid w:val="009F5F3D"/>
    <w:rsid w:val="00A93ABF"/>
    <w:rsid w:val="00AA619A"/>
    <w:rsid w:val="00AB080B"/>
    <w:rsid w:val="00B05AE2"/>
    <w:rsid w:val="00B10E8F"/>
    <w:rsid w:val="00B25726"/>
    <w:rsid w:val="00B3532D"/>
    <w:rsid w:val="00C10851"/>
    <w:rsid w:val="00C11414"/>
    <w:rsid w:val="00C44F13"/>
    <w:rsid w:val="00C60D09"/>
    <w:rsid w:val="00CE4177"/>
    <w:rsid w:val="00D17FDE"/>
    <w:rsid w:val="00D21C56"/>
    <w:rsid w:val="00D42AB2"/>
    <w:rsid w:val="00D848C7"/>
    <w:rsid w:val="00E06ABB"/>
    <w:rsid w:val="00EF283B"/>
    <w:rsid w:val="00F64430"/>
    <w:rsid w:val="00F75494"/>
    <w:rsid w:val="00F81883"/>
    <w:rsid w:val="00FE6C6B"/>
    <w:rsid w:val="00FF7845"/>
    <w:rsid w:val="0ADCC509"/>
    <w:rsid w:val="10BDC1C2"/>
    <w:rsid w:val="12769B65"/>
    <w:rsid w:val="1BB8BB38"/>
    <w:rsid w:val="1C4620AF"/>
    <w:rsid w:val="23619AED"/>
    <w:rsid w:val="25947E78"/>
    <w:rsid w:val="2F383461"/>
    <w:rsid w:val="3315A2EF"/>
    <w:rsid w:val="34F1F746"/>
    <w:rsid w:val="412A0374"/>
    <w:rsid w:val="4A0124FD"/>
    <w:rsid w:val="4DB25F80"/>
    <w:rsid w:val="547FB586"/>
    <w:rsid w:val="5481ACF7"/>
    <w:rsid w:val="57C33042"/>
    <w:rsid w:val="5C734DB9"/>
    <w:rsid w:val="60CE375D"/>
    <w:rsid w:val="684CB439"/>
    <w:rsid w:val="69C893FF"/>
    <w:rsid w:val="6AE9BB5A"/>
    <w:rsid w:val="7220A5C9"/>
    <w:rsid w:val="72FEF1E2"/>
    <w:rsid w:val="773BC313"/>
    <w:rsid w:val="7C3BD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BC276"/>
  <w15:chartTrackingRefBased/>
  <w15:docId w15:val="{98FC4C54-1A96-4099-8217-0E7E9FAD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934"/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414"/>
    <w:pPr>
      <w:keepNext/>
      <w:keepLines/>
      <w:spacing w:before="600" w:after="360"/>
      <w:outlineLvl w:val="0"/>
    </w:pPr>
    <w:rPr>
      <w:rFonts w:ascii="Co Headline Light" w:hAnsi="Co Headline Light"/>
      <w:color w:val="4BBCDF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22"/>
    <w:pPr>
      <w:keepNext/>
      <w:keepLines/>
      <w:spacing w:before="280" w:after="240"/>
      <w:outlineLvl w:val="1"/>
    </w:pPr>
    <w:rPr>
      <w:rFonts w:ascii="Arial" w:hAnsi="Arial"/>
      <w:b/>
      <w:color w:val="000000"/>
      <w:sz w:val="28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hAnsi="Arial" w:eastAsia="Calibri"/>
      <w:sz w:val="21"/>
      <w:lang w:eastAsia="en-US"/>
    </w:rPr>
  </w:style>
  <w:style w:type="character" w:styleId="HeaderChar" w:customStyle="1">
    <w:name w:val="Header Char"/>
    <w:link w:val="Header"/>
    <w:uiPriority w:val="99"/>
    <w:rsid w:val="00C11414"/>
    <w:rPr>
      <w:rFonts w:ascii="Arial" w:hAnsi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hAnsi="Arial" w:eastAsia="Calibri"/>
      <w:sz w:val="21"/>
      <w:lang w:eastAsia="en-US"/>
    </w:rPr>
  </w:style>
  <w:style w:type="character" w:styleId="FooterChar" w:customStyle="1">
    <w:name w:val="Footer Char"/>
    <w:link w:val="Footer"/>
    <w:uiPriority w:val="99"/>
    <w:rsid w:val="00C11414"/>
    <w:rPr>
      <w:rFonts w:ascii="Arial" w:hAnsi="Arial"/>
      <w:color w:val="000000"/>
      <w:sz w:val="21"/>
    </w:rPr>
  </w:style>
  <w:style w:type="character" w:styleId="Heading1Char" w:customStyle="1">
    <w:name w:val="Heading 1 Char"/>
    <w:link w:val="Heading1"/>
    <w:uiPriority w:val="9"/>
    <w:rsid w:val="00C11414"/>
    <w:rPr>
      <w:rFonts w:ascii="Co Headline Light" w:hAnsi="Co Headline Light" w:eastAsia="Times New Roman" w:cs="Times New Roman"/>
      <w:color w:val="4BBCDF"/>
      <w:sz w:val="40"/>
      <w:szCs w:val="32"/>
    </w:rPr>
  </w:style>
  <w:style w:type="character" w:styleId="Heading2Char" w:customStyle="1">
    <w:name w:val="Heading 2 Char"/>
    <w:link w:val="Heading2"/>
    <w:uiPriority w:val="9"/>
    <w:rsid w:val="00546422"/>
    <w:rPr>
      <w:rFonts w:ascii="Arial" w:hAnsi="Arial" w:eastAsia="Times New Roman" w:cs="Times New Roman"/>
      <w:b/>
      <w:color w:val="000000"/>
      <w:sz w:val="28"/>
      <w:szCs w:val="26"/>
    </w:rPr>
  </w:style>
  <w:style w:type="paragraph" w:styleId="NoSpacing">
    <w:name w:val="No Spacing"/>
    <w:uiPriority w:val="1"/>
    <w:qFormat/>
    <w:rsid w:val="00C11414"/>
    <w:rPr>
      <w:rFonts w:ascii="Arial" w:hAnsi="Arial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422"/>
    <w:pPr>
      <w:pBdr>
        <w:top w:val="single" w:color="4BBCDF" w:sz="4" w:space="10"/>
        <w:bottom w:val="single" w:color="4BBCDF" w:sz="4" w:space="10"/>
      </w:pBdr>
      <w:spacing w:before="360" w:after="360"/>
      <w:ind w:right="864"/>
    </w:pPr>
    <w:rPr>
      <w:rFonts w:ascii="Co Headline Light" w:hAnsi="Co Headline Light" w:eastAsia="Calibri"/>
      <w:iCs/>
      <w:color w:val="4BBCDF"/>
      <w:sz w:val="21"/>
      <w:lang w:eastAsia="en-US"/>
    </w:rPr>
  </w:style>
  <w:style w:type="character" w:styleId="IntenseQuoteChar" w:customStyle="1">
    <w:name w:val="Intense Quote Char"/>
    <w:link w:val="IntenseQuote"/>
    <w:uiPriority w:val="30"/>
    <w:rsid w:val="00546422"/>
    <w:rPr>
      <w:rFonts w:ascii="Co Headline Light" w:hAnsi="Co Headline Light"/>
      <w:iCs/>
      <w:color w:val="4BBCDF"/>
      <w:sz w:val="21"/>
    </w:rPr>
  </w:style>
  <w:style w:type="character" w:styleId="SubtleEmphasis">
    <w:name w:val="Subtle Emphasis"/>
    <w:uiPriority w:val="19"/>
    <w:qFormat/>
    <w:rsid w:val="00546422"/>
    <w:rPr>
      <w:rFonts w:ascii="Arial" w:hAnsi="Arial"/>
      <w:i/>
      <w:iCs/>
      <w:color w:val="404040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F36"/>
    <w:pPr>
      <w:numPr>
        <w:ilvl w:val="1"/>
      </w:numPr>
      <w:spacing w:before="120" w:after="280"/>
    </w:pPr>
    <w:rPr>
      <w:rFonts w:ascii="Arial" w:hAnsi="Arial"/>
      <w:b/>
      <w:color w:val="4BBCDF"/>
      <w:spacing w:val="15"/>
      <w:szCs w:val="22"/>
      <w:lang w:eastAsia="en-US"/>
    </w:rPr>
  </w:style>
  <w:style w:type="character" w:styleId="SubtitleChar" w:customStyle="1">
    <w:name w:val="Subtitle Char"/>
    <w:link w:val="Subtitle"/>
    <w:uiPriority w:val="11"/>
    <w:rsid w:val="00474F36"/>
    <w:rPr>
      <w:rFonts w:ascii="Arial" w:hAnsi="Arial" w:eastAsia="Times New Roman"/>
      <w:b/>
      <w:color w:val="4BBCDF"/>
      <w:spacing w:val="15"/>
      <w:sz w:val="21"/>
      <w:szCs w:val="22"/>
    </w:rPr>
  </w:style>
  <w:style w:type="paragraph" w:styleId="Quote">
    <w:name w:val="Quote"/>
    <w:basedOn w:val="IntenseQuote"/>
    <w:next w:val="Normal"/>
    <w:link w:val="QuoteChar"/>
    <w:uiPriority w:val="29"/>
    <w:qFormat/>
    <w:rsid w:val="00B10E8F"/>
    <w:pPr>
      <w:pBdr>
        <w:top w:val="none" w:color="auto" w:sz="0" w:space="0"/>
        <w:bottom w:val="none" w:color="auto" w:sz="0" w:space="0"/>
      </w:pBdr>
      <w:spacing w:before="200" w:after="160"/>
    </w:pPr>
    <w:rPr>
      <w:iCs w:val="0"/>
    </w:rPr>
  </w:style>
  <w:style w:type="character" w:styleId="QuoteChar" w:customStyle="1">
    <w:name w:val="Quote Char"/>
    <w:link w:val="Quote"/>
    <w:uiPriority w:val="29"/>
    <w:rsid w:val="00B10E8F"/>
    <w:rPr>
      <w:rFonts w:ascii="Co Headline Light" w:hAnsi="Co Headline Light"/>
      <w:color w:val="4BBCDF"/>
      <w:sz w:val="21"/>
    </w:rPr>
  </w:style>
  <w:style w:type="paragraph" w:styleId="NormalWeb">
    <w:name w:val="Normal (Web)"/>
    <w:basedOn w:val="Normal"/>
    <w:uiPriority w:val="99"/>
    <w:semiHidden/>
    <w:unhideWhenUsed/>
    <w:rsid w:val="00546422"/>
    <w:rPr>
      <w:rFonts w:eastAsia="Calibri"/>
      <w:lang w:eastAsia="en-US"/>
    </w:rPr>
  </w:style>
  <w:style w:type="table" w:styleId="TableStyle1" w:customStyle="1">
    <w:name w:val="Table Style1"/>
    <w:basedOn w:val="TableNormal"/>
    <w:next w:val="TableGrid"/>
    <w:uiPriority w:val="39"/>
    <w:rsid w:val="002424B1"/>
    <w:pPr>
      <w:spacing w:before="120" w:after="120"/>
    </w:pPr>
    <w:rPr>
      <w:rFonts w:ascii="Arial" w:hAnsi="Arial"/>
      <w:sz w:val="21"/>
    </w:rPr>
    <w:tblPr>
      <w:tblBorders>
        <w:bottom w:val="single" w:color="4DC0E2" w:sz="24" w:space="0"/>
        <w:insideH w:val="single" w:color="D9D9D9" w:sz="6" w:space="0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</w:rPr>
      <w:tblPr/>
      <w:tcPr>
        <w:tcBorders>
          <w:top w:val="nil"/>
          <w:bottom w:val="single" w:color="4DC0E2" w:sz="12" w:space="0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color="4DC0E2" w:sz="24" w:space="0"/>
          <w:right w:val="nil"/>
        </w:tcBorders>
        <w:shd w:val="clear" w:color="auto" w:fill="auto"/>
      </w:tcPr>
    </w:tblStylePr>
    <w:tblStylePr w:type="seCell">
      <w:tblPr/>
      <w:tcPr>
        <w:tcBorders>
          <w:bottom w:val="single" w:color="4DC0E2" w:sz="24" w:space="0"/>
        </w:tcBorders>
        <w:shd w:val="clear" w:color="auto" w:fill="auto"/>
      </w:tcPr>
    </w:tblStylePr>
    <w:tblStylePr w:type="swCell">
      <w:tblPr/>
      <w:tcPr>
        <w:tcBorders>
          <w:top w:val="nil"/>
          <w:bottom w:val="single" w:color="4DC0E2" w:sz="24" w:space="0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2424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" w:customStyle="1">
    <w:name w:val="Table"/>
    <w:basedOn w:val="TableNormal"/>
    <w:uiPriority w:val="99"/>
    <w:rsid w:val="002424B1"/>
    <w:rPr>
      <w:rFonts w:ascii="Arial" w:hAnsi="Arial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2424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TitleChar" w:customStyle="1">
    <w:name w:val="Title Char"/>
    <w:link w:val="Title"/>
    <w:uiPriority w:val="10"/>
    <w:rsid w:val="002424B1"/>
    <w:rPr>
      <w:rFonts w:ascii="Calibri Light" w:hAnsi="Calibri Light" w:eastAsia="Times New Roman" w:cs="Times New Roman"/>
      <w:color w:val="000000"/>
      <w:spacing w:val="-10"/>
      <w:kern w:val="28"/>
      <w:sz w:val="56"/>
      <w:szCs w:val="56"/>
    </w:rPr>
  </w:style>
  <w:style w:type="table" w:styleId="Seccl-Table" w:customStyle="1">
    <w:name w:val="Seccl-Table"/>
    <w:basedOn w:val="TableNormal"/>
    <w:uiPriority w:val="99"/>
    <w:rsid w:val="002424B1"/>
    <w:rPr>
      <w:rFonts w:ascii="Arial" w:hAnsi="Arial"/>
    </w:rPr>
    <w:tblPr/>
  </w:style>
  <w:style w:type="paragraph" w:styleId="ListParagraph">
    <w:name w:val="List Paragraph"/>
    <w:basedOn w:val="Normal"/>
    <w:uiPriority w:val="34"/>
    <w:qFormat/>
    <w:rsid w:val="005D61AC"/>
    <w:pPr>
      <w:ind w:left="720"/>
      <w:contextualSpacing/>
    </w:pPr>
    <w:rPr>
      <w:rFonts w:ascii="Arial" w:hAnsi="Arial" w:eastAsia="Calibri"/>
      <w:sz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E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1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support@soderbergpartners.co.uk" TargetMode="External" Id="R51f5e6fdffc04b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021bd-623f-4916-b409-ca8b681aeecd" xsi:nil="true"/>
    <lcf76f155ced4ddcb4097134ff3c332f xmlns="d7904a8c-5e9e-4d4d-a2f5-916cbf9963f5">
      <Terms xmlns="http://schemas.microsoft.com/office/infopath/2007/PartnerControls"/>
    </lcf76f155ced4ddcb4097134ff3c332f>
    <SharedWithUsers xmlns="6cc021bd-623f-4916-b409-ca8b681aeecd">
      <UserInfo>
        <DisplayName/>
        <AccountId xsi:nil="true"/>
        <AccountType/>
      </UserInfo>
    </SharedWithUsers>
    <MediaLengthInSeconds xmlns="d7904a8c-5e9e-4d4d-a2f5-916cbf9963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C34AC366704A9CEE4FC01625D245" ma:contentTypeVersion="14" ma:contentTypeDescription="Create a new document." ma:contentTypeScope="" ma:versionID="6a646887ccbd4a276bc0fdcd1ef9852d">
  <xsd:schema xmlns:xsd="http://www.w3.org/2001/XMLSchema" xmlns:xs="http://www.w3.org/2001/XMLSchema" xmlns:p="http://schemas.microsoft.com/office/2006/metadata/properties" xmlns:ns2="d7904a8c-5e9e-4d4d-a2f5-916cbf9963f5" xmlns:ns3="6cc021bd-623f-4916-b409-ca8b681aeecd" targetNamespace="http://schemas.microsoft.com/office/2006/metadata/properties" ma:root="true" ma:fieldsID="a6fc1022275aa8aa7f61deda1f08e0c5" ns2:_="" ns3:_="">
    <xsd:import namespace="d7904a8c-5e9e-4d4d-a2f5-916cbf9963f5"/>
    <xsd:import namespace="6cc021bd-623f-4916-b409-ca8b681ae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4a8c-5e9e-4d4d-a2f5-916cbf99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21bd-623f-4916-b409-ca8b681aee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291789-ece8-4de8-a1a3-093189238a48}" ma:internalName="TaxCatchAll" ma:showField="CatchAllData" ma:web="6cc021bd-623f-4916-b409-ca8b681ae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63126-A38B-4CE0-BDAF-C0EA1954AF61}">
  <ds:schemaRefs>
    <ds:schemaRef ds:uri="http://schemas.microsoft.com/office/2006/metadata/properties"/>
    <ds:schemaRef ds:uri="http://schemas.microsoft.com/office/infopath/2007/PartnerControls"/>
    <ds:schemaRef ds:uri="56abd02c-6d23-45c7-bc08-4974e9598f5b"/>
    <ds:schemaRef ds:uri="7cd89968-328d-4776-b821-91ab313fe2c9"/>
  </ds:schemaRefs>
</ds:datastoreItem>
</file>

<file path=customXml/itemProps2.xml><?xml version="1.0" encoding="utf-8"?>
<ds:datastoreItem xmlns:ds="http://schemas.openxmlformats.org/officeDocument/2006/customXml" ds:itemID="{C487C0BD-5F0A-425E-8D1A-4D939CD77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67B3B-01B3-4279-BB3B-30D1925C8A7E}"/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Hannah Nash</lastModifiedBy>
  <revision>8</revision>
  <lastPrinted>2020-04-01T16:29:00.0000000Z</lastPrinted>
  <dcterms:created xsi:type="dcterms:W3CDTF">2023-08-09T18:02:00.0000000Z</dcterms:created>
  <dcterms:modified xsi:type="dcterms:W3CDTF">2024-08-28T12:19:29.2056575Z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0x01010028F8C34AC366704A9CEE4FC01625D245</vt:lpwstr>
  </property>
  <property fmtid="{D5CDD505-2E9C-101B-9397-08002B2CF9AE}" pid="3" name="MediaServiceImageTags">
    <vt:lpwstr/>
  </property>
  <property fmtid="{D5CDD505-2E9C-101B-9397-08002B2CF9AE}" pid="4" name="Order">
    <vt:r8>161300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