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CD2F4B" w:rsidRDefault="00011076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0115FFFC" w14:textId="77777777" w:rsidR="00A90321" w:rsidRDefault="00A90321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276A1140" w14:textId="1717A4B2" w:rsidR="00423327" w:rsidRPr="00423327" w:rsidRDefault="00423327" w:rsidP="6DE467E6">
      <w:pPr>
        <w:spacing w:after="120"/>
        <w:rPr>
          <w:rFonts w:ascii="Whitney Black" w:eastAsia="Whitney Black" w:hAnsi="Whitney Black" w:cs="Whitney Black"/>
          <w:sz w:val="28"/>
          <w:szCs w:val="28"/>
        </w:rPr>
      </w:pPr>
      <w:r w:rsidRPr="6DE467E6">
        <w:rPr>
          <w:rFonts w:ascii="Whitney Black" w:eastAsia="Whitney Black" w:hAnsi="Whitney Black" w:cs="Whitney Black"/>
          <w:sz w:val="28"/>
          <w:szCs w:val="28"/>
        </w:rPr>
        <w:t>General Investment Account Transfer Authority Form </w:t>
      </w:r>
    </w:p>
    <w:p w14:paraId="2B24922D" w14:textId="77777777" w:rsidR="00423327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1 – Our account details </w:t>
      </w:r>
    </w:p>
    <w:p w14:paraId="5AD60364" w14:textId="77777777" w:rsidR="003717D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tbl>
      <w:tblPr>
        <w:tblStyle w:val="TableGrid"/>
        <w:tblW w:w="9133" w:type="dxa"/>
        <w:tblInd w:w="-118" w:type="dxa"/>
        <w:tblLayout w:type="fixed"/>
        <w:tblLook w:val="06A0" w:firstRow="1" w:lastRow="0" w:firstColumn="1" w:lastColumn="0" w:noHBand="1" w:noVBand="1"/>
      </w:tblPr>
      <w:tblGrid>
        <w:gridCol w:w="3652"/>
        <w:gridCol w:w="5481"/>
      </w:tblGrid>
      <w:tr w:rsidR="003717D7" w:rsidRPr="009E1515" w14:paraId="129F1786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FFBF" w14:textId="6B366CF7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3C39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5709EAAF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27B9" w14:textId="5B7F5814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account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DF51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0BC62289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279F" w14:textId="5A5D82AE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Type of account being transferred i.e. company/charity or pension trustee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5D5C2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28002268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5C99" w14:textId="77777777" w:rsidR="003717D7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</w:t>
            </w:r>
          </w:p>
          <w:p w14:paraId="5AD5D580" w14:textId="77777777" w:rsid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  <w:p w14:paraId="4B2797F1" w14:textId="21270762" w:rsidR="00A90321" w:rsidRP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CDEE7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4F5E496" w14:textId="35E6020E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 </w:t>
      </w:r>
    </w:p>
    <w:p w14:paraId="5BC604D9" w14:textId="3BD6B150" w:rsidR="00423327" w:rsidRDefault="00423327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  <w:r w:rsidRPr="6DE467E6">
        <w:rPr>
          <w:rFonts w:ascii="Whitney Black" w:eastAsia="Whitney Black" w:hAnsi="Whitney Black" w:cs="Whitney Black"/>
        </w:rPr>
        <w:t>Section 2 – Account to be transferred </w:t>
      </w:r>
      <w:r>
        <w:tab/>
      </w:r>
    </w:p>
    <w:p w14:paraId="4FA12BDD" w14:textId="77777777" w:rsidR="00A90321" w:rsidRDefault="00A90321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4"/>
        <w:gridCol w:w="5466"/>
      </w:tblGrid>
      <w:tr w:rsidR="00A90321" w:rsidRPr="009E1515" w14:paraId="10E6B0E5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2C20" w14:textId="17272126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AC7A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568FAD2B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FC3B" w14:textId="0302B8DF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68BB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3FB6C111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1F4A" w14:textId="741E5C14" w:rsidR="00A90321" w:rsidRPr="009E1515" w:rsidRDefault="00A90321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3D76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</w:tc>
      </w:tr>
      <w:tr w:rsidR="00A90321" w:rsidRPr="009E1515" w14:paraId="67DF55B3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83EA" w14:textId="0439EE89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Estimated transfer value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68093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73B452A8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AD1C" w14:textId="65184D6B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20C16" w14:textId="77777777" w:rsidR="00A90321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  <w:p w14:paraId="04912A26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4275B5B3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28FFE829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79829145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3BE8F964" w14:textId="77777777" w:rsidR="005B7D63" w:rsidRPr="009E1515" w:rsidRDefault="005B7D63" w:rsidP="6DE467E6">
            <w:pPr>
              <w:rPr>
                <w:rFonts w:ascii="Whitney Book" w:eastAsia="Whitney Book" w:hAnsi="Whitney Book" w:cs="Whitney Book"/>
              </w:rPr>
            </w:pPr>
          </w:p>
        </w:tc>
      </w:tr>
    </w:tbl>
    <w:p w14:paraId="0ADD4F09" w14:textId="3916AE5F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p w14:paraId="6B80B962" w14:textId="632A39C5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3 - Transfer type </w:t>
      </w:r>
    </w:p>
    <w:tbl>
      <w:tblPr>
        <w:tblW w:w="520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867"/>
        <w:gridCol w:w="458"/>
        <w:gridCol w:w="916"/>
        <w:gridCol w:w="458"/>
      </w:tblGrid>
      <w:tr w:rsidR="00423327" w:rsidRPr="00423327" w14:paraId="6E594952" w14:textId="77777777" w:rsidTr="6DE467E6">
        <w:trPr>
          <w:trHeight w:val="33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6290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Transfer type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48F9B1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Full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CACC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33E999" w14:textId="67B4B59A" w:rsidR="00423327" w:rsidRPr="00423327" w:rsidRDefault="002B7821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>
              <w:rPr>
                <w:rFonts w:ascii="Whitney Light" w:eastAsia="Whitney Light" w:hAnsi="Whitney Light" w:cs="Whitney Light"/>
                <w:sz w:val="22"/>
                <w:szCs w:val="22"/>
              </w:rPr>
              <w:t xml:space="preserve">    </w:t>
            </w:r>
            <w:r w:rsidR="00423327"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Partial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5653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725EB42A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470"/>
      </w:tblGrid>
      <w:tr w:rsidR="00423327" w:rsidRPr="00423327" w14:paraId="78A8D7BB" w14:textId="77777777" w:rsidTr="6DE467E6">
        <w:trPr>
          <w:trHeight w:val="300"/>
        </w:trPr>
        <w:tc>
          <w:tcPr>
            <w:tcW w:w="75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32A652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If a partial transfer is required, please confirm the value to be transferred as a percentage or amount. 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3636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00690A10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2B8DFC3" w14:textId="1A090760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4 - Transfer method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5"/>
        <w:gridCol w:w="4260"/>
        <w:gridCol w:w="375"/>
      </w:tblGrid>
      <w:tr w:rsidR="00423327" w:rsidRPr="00423327" w14:paraId="0D393650" w14:textId="77777777" w:rsidTr="6DE467E6">
        <w:trPr>
          <w:trHeight w:val="515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6D331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Sell the assets held and transfer the cash proceeds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8AFF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37250F" w14:textId="158F75BB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Please arrange for the re-registration of   assets held*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5BB2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</w:tr>
    </w:tbl>
    <w:p w14:paraId="66E5538E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6C36D25" w14:textId="7D7C9EE1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* Any re-registration </w:t>
      </w:r>
      <w:r w:rsidR="002A79C2">
        <w:rPr>
          <w:rFonts w:ascii="Whitney Light" w:eastAsia="Whitney Light" w:hAnsi="Whitney Light" w:cs="Whitney Light"/>
          <w:sz w:val="22"/>
          <w:szCs w:val="22"/>
        </w:rPr>
        <w:t>of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assets will be subject to your existing manager allowing this type of transfer and your investments being available on our platform</w:t>
      </w: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. </w:t>
      </w:r>
    </w:p>
    <w:p w14:paraId="123ECFE7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lastRenderedPageBreak/>
        <w:t> </w:t>
      </w:r>
    </w:p>
    <w:p w14:paraId="29489FA5" w14:textId="77777777" w:rsidR="005F7201" w:rsidRDefault="005F720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1DD162B9" w14:textId="41E9B239" w:rsidR="6DE467E6" w:rsidRDefault="6DE467E6" w:rsidP="6DE467E6">
      <w:pPr>
        <w:spacing w:after="120"/>
        <w:rPr>
          <w:rFonts w:ascii="Whitney Black" w:eastAsia="Whitney Black" w:hAnsi="Whitney Black" w:cs="Whitney Black"/>
          <w:sz w:val="22"/>
          <w:szCs w:val="22"/>
        </w:rPr>
      </w:pPr>
    </w:p>
    <w:p w14:paraId="0EBA91E2" w14:textId="65CA9F28" w:rsidR="00423327" w:rsidRDefault="00423327" w:rsidP="6DE467E6">
      <w:pPr>
        <w:spacing w:after="120"/>
        <w:rPr>
          <w:rFonts w:ascii="Whitney Light" w:eastAsia="Whitney Light" w:hAnsi="Whitney Light" w:cs="Whitney Light"/>
        </w:rPr>
      </w:pPr>
      <w:r w:rsidRPr="6DE467E6">
        <w:rPr>
          <w:rFonts w:ascii="Whitney Black" w:eastAsia="Whitney Black" w:hAnsi="Whitney Black" w:cs="Whitney Black"/>
        </w:rPr>
        <w:t>Section 5 – Declaration</w:t>
      </w:r>
      <w:r w:rsidRPr="6DE467E6">
        <w:rPr>
          <w:rFonts w:ascii="Whitney Light" w:eastAsia="Whitney Light" w:hAnsi="Whitney Light" w:cs="Whitney Light"/>
        </w:rPr>
        <w:t> </w:t>
      </w:r>
    </w:p>
    <w:p w14:paraId="35B24ABE" w14:textId="77777777" w:rsidR="00A90321" w:rsidRPr="00423327" w:rsidRDefault="00A9032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267B5116" w14:textId="7E6B803C" w:rsidR="00423327" w:rsidRPr="00423327" w:rsidRDefault="00423327" w:rsidP="6DE467E6">
      <w:pPr>
        <w:rPr>
          <w:rFonts w:ascii="Whitney Black" w:eastAsia="Whitney Black" w:hAnsi="Whitney Black" w:cs="Whitney Black"/>
          <w:color w:val="000000" w:themeColor="text1"/>
          <w:sz w:val="22"/>
          <w:szCs w:val="22"/>
        </w:rPr>
      </w:pPr>
      <w:r w:rsidRPr="6DE467E6">
        <w:rPr>
          <w:rFonts w:ascii="Whitney Black" w:eastAsia="Whitney Black" w:hAnsi="Whitney Black" w:cs="Whitney Black"/>
          <w:b/>
          <w:bCs/>
          <w:sz w:val="22"/>
          <w:szCs w:val="22"/>
        </w:rPr>
        <w:t> </w:t>
      </w:r>
      <w:r w:rsidR="00CD2F4B" w:rsidRPr="6DE467E6">
        <w:rPr>
          <w:rFonts w:ascii="Whitney Black" w:eastAsia="Whitney Black" w:hAnsi="Whitney Black" w:cs="Whitney Black"/>
          <w:color w:val="000000" w:themeColor="text1"/>
          <w:sz w:val="22"/>
          <w:szCs w:val="22"/>
        </w:rPr>
        <w:t xml:space="preserve">I declare that: </w:t>
      </w:r>
    </w:p>
    <w:p w14:paraId="63E2857E" w14:textId="2DD492E3" w:rsidR="00423327" w:rsidRPr="00423327" w:rsidRDefault="00423327" w:rsidP="6DE467E6">
      <w:pPr>
        <w:numPr>
          <w:ilvl w:val="0"/>
          <w:numId w:val="13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>I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>/we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authorise and instruct the above account administrator to transfer the sums listed on the application to {ISP} and 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>Söderberg &amp; Partners Wealth Management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 xml:space="preserve"> (Seccl Custody Limited)</w:t>
      </w:r>
      <w:r w:rsidRPr="6DE467E6">
        <w:rPr>
          <w:rFonts w:ascii="Whitney Light" w:eastAsia="Whitney Light" w:hAnsi="Whitney Light" w:cs="Whitney Light"/>
          <w:sz w:val="22"/>
          <w:szCs w:val="22"/>
        </w:rPr>
        <w:t>. </w:t>
      </w:r>
    </w:p>
    <w:p w14:paraId="04281E13" w14:textId="00C27C59" w:rsidR="00423327" w:rsidRPr="00423327" w:rsidRDefault="00423327" w:rsidP="6DE467E6">
      <w:pPr>
        <w:numPr>
          <w:ilvl w:val="0"/>
          <w:numId w:val="14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I/we authorise {ISP},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 xml:space="preserve">Söderberg &amp; Partners Wealth Management (Seccl Custody Limited) </w:t>
      </w:r>
      <w:r w:rsidRPr="6DE467E6">
        <w:rPr>
          <w:rFonts w:ascii="Whitney Light" w:eastAsia="Whitney Light" w:hAnsi="Whitney Light" w:cs="Whitney Light"/>
          <w:sz w:val="22"/>
          <w:szCs w:val="22"/>
        </w:rPr>
        <w:t>and the current provider named in this application to obtain and release information from each other to allow the transfer to proceed. </w:t>
      </w:r>
    </w:p>
    <w:p w14:paraId="12167694" w14:textId="4B77D432" w:rsidR="00423327" w:rsidRDefault="00423327" w:rsidP="6DE467E6">
      <w:pPr>
        <w:numPr>
          <w:ilvl w:val="0"/>
          <w:numId w:val="15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 understand that until this application has been completed and is accepted, the responsibilities of {ISP} and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>Söderberg &amp; Partners Wealth Management (</w:t>
      </w:r>
      <w:r w:rsidRPr="6DE467E6">
        <w:rPr>
          <w:rFonts w:ascii="Whitney Light" w:eastAsia="Whitney Light" w:hAnsi="Whitney Light" w:cs="Whitney Light"/>
          <w:sz w:val="22"/>
          <w:szCs w:val="22"/>
        </w:rPr>
        <w:t>Seccl Custody Limited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>)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are limited to returning any funds received direct to the ceding provider.  </w:t>
      </w:r>
    </w:p>
    <w:p w14:paraId="4A0AC154" w14:textId="77777777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</w:p>
    <w:p w14:paraId="20D959E1" w14:textId="6A93FAD6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  <w:r w:rsidRPr="6DE467E6">
        <w:rPr>
          <w:rFonts w:ascii="Whitney Black" w:eastAsia="Whitney Black" w:hAnsi="Whitney Black" w:cs="Whitney Black"/>
          <w:color w:val="000000" w:themeColor="text1"/>
        </w:rPr>
        <w:t xml:space="preserve">I have read and agreed to the declaration above: </w:t>
      </w:r>
    </w:p>
    <w:p w14:paraId="4D59BE31" w14:textId="352AD0FC" w:rsidR="00A23372" w:rsidRPr="00A23372" w:rsidRDefault="00A23372" w:rsidP="6DE467E6">
      <w:pPr>
        <w:rPr>
          <w:rFonts w:ascii="Whitney Light" w:eastAsia="Whitney Light" w:hAnsi="Whitney Light" w:cs="Whitney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1F617F3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23326" w14:textId="33AFF9F1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E803" w14:textId="7A971CFF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263985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9A5A2" w14:textId="27FEE449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43D73" w14:textId="3C6ADFF0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47FA2FA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C96E6" w14:textId="11A6A752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5CA9A" w14:textId="0F9820C8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6099D9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DD3B9" w14:textId="390DA009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69D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64027B2C" w14:textId="77777777" w:rsidR="00A23372" w:rsidRPr="00A23372" w:rsidRDefault="00A23372" w:rsidP="6DE467E6">
      <w:pPr>
        <w:ind w:left="36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color w:val="000000" w:themeColor="text1"/>
          <w:sz w:val="22"/>
          <w:szCs w:val="22"/>
        </w:rPr>
        <w:t xml:space="preserve"> </w:t>
      </w:r>
    </w:p>
    <w:p w14:paraId="3FB053A9" w14:textId="5BAFD959" w:rsidR="00A23372" w:rsidRPr="00423327" w:rsidRDefault="00A23372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5E034EAC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3DD4" w14:textId="77777777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DA2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0EEBDB87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E1425" w14:textId="4778F57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7AC5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F3F89B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93ED" w14:textId="3B8AECE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25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AD0FA2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43D3" w14:textId="77777777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D69C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4F2AF493" w14:textId="77777777" w:rsidR="00C249CD" w:rsidRPr="00CF2A7C" w:rsidRDefault="00C249CD" w:rsidP="00C249CD">
      <w:pPr>
        <w:pStyle w:val="Heading1"/>
        <w:spacing w:after="120"/>
        <w:rPr>
          <w:rFonts w:ascii="Whitney Semibold" w:hAnsi="Whitney Semibold"/>
        </w:rPr>
      </w:pPr>
      <w:bookmarkStart w:id="0" w:name="_Hlk218602873"/>
      <w:r w:rsidRPr="00CF2A7C">
        <w:rPr>
          <w:rFonts w:ascii="Whitney Semibold" w:eastAsia="Whitney Light" w:hAnsi="Whitney Semibold" w:cs="Whitney Light"/>
          <w:color w:val="auto"/>
          <w:sz w:val="22"/>
          <w:szCs w:val="22"/>
        </w:rPr>
        <w:t>Information</w:t>
      </w:r>
      <w:r w:rsidRPr="00CF2A7C">
        <w:rPr>
          <w:rFonts w:ascii="Whitney Semibold" w:hAnsi="Whitney Semibold"/>
        </w:rPr>
        <w:t xml:space="preserve"> </w:t>
      </w:r>
    </w:p>
    <w:p w14:paraId="3DF59859" w14:textId="77777777" w:rsidR="00C249CD" w:rsidRPr="00CF2A7C" w:rsidRDefault="00C249CD" w:rsidP="00C249CD">
      <w:pPr>
        <w:tabs>
          <w:tab w:val="center" w:pos="7486"/>
        </w:tabs>
        <w:spacing w:after="24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>For Cash or Residual Cash Payments: please make payment to the below bank details, quoting the account ID number as the reference:</w:t>
      </w:r>
      <w:r w:rsidRPr="00CF2A7C">
        <w:rPr>
          <w:rFonts w:ascii="Whitney Light" w:hAnsi="Whitney Light"/>
          <w:sz w:val="20"/>
          <w:szCs w:val="20"/>
        </w:rPr>
        <w:tab/>
      </w:r>
    </w:p>
    <w:p w14:paraId="11E26C38" w14:textId="77777777" w:rsidR="00C249CD" w:rsidRPr="00CF2A7C" w:rsidRDefault="00C249CD" w:rsidP="00C249CD">
      <w:pPr>
        <w:tabs>
          <w:tab w:val="center" w:pos="6180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Bank: Lloyds Bank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365E6AAC" w14:textId="77777777" w:rsidR="00C249CD" w:rsidRPr="00CF2A7C" w:rsidRDefault="00C249CD" w:rsidP="00C249CD">
      <w:pPr>
        <w:tabs>
          <w:tab w:val="center" w:pos="6399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Account Holder: Seccl Custody Client Account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5F2F2984" w14:textId="77777777" w:rsidR="00C249CD" w:rsidRPr="00CF2A7C" w:rsidRDefault="00C249CD" w:rsidP="00C249CD">
      <w:pPr>
        <w:tabs>
          <w:tab w:val="center" w:pos="6010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Account Number: 17190968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2F588F69" w14:textId="77777777" w:rsidR="00C249CD" w:rsidRDefault="00C249CD" w:rsidP="00C249CD">
      <w:pPr>
        <w:tabs>
          <w:tab w:val="center" w:pos="6036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>Sort Code: 30 - 80 – 12</w:t>
      </w:r>
    </w:p>
    <w:p w14:paraId="73827C8B" w14:textId="3F7BD174" w:rsidR="00C249CD" w:rsidRDefault="00C249CD" w:rsidP="00C249CD">
      <w:pPr>
        <w:tabs>
          <w:tab w:val="center" w:pos="6036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>
        <w:rPr>
          <w:rFonts w:ascii="Whitney Light" w:hAnsi="Whitney Light" w:cs="Arial"/>
          <w:sz w:val="20"/>
          <w:szCs w:val="20"/>
        </w:rPr>
        <w:t>Payment Reference: SODBG-</w:t>
      </w:r>
      <w:r w:rsidRPr="00C249CD">
        <w:rPr>
          <w:rFonts w:ascii="Whitney Light" w:hAnsi="Whitney Light" w:cs="Arial"/>
          <w:sz w:val="20"/>
          <w:szCs w:val="20"/>
          <w:highlight w:val="yellow"/>
        </w:rPr>
        <w:t>insert account ID</w:t>
      </w:r>
    </w:p>
    <w:p w14:paraId="6FF0D2AF" w14:textId="77777777" w:rsidR="00C249CD" w:rsidRPr="00CF2A7C" w:rsidRDefault="00C249CD" w:rsidP="00C249CD">
      <w:pPr>
        <w:tabs>
          <w:tab w:val="center" w:pos="6036"/>
        </w:tabs>
        <w:spacing w:after="240" w:line="265" w:lineRule="auto"/>
        <w:rPr>
          <w:rFonts w:ascii="Whitney Light" w:hAnsi="Whitney Light" w:cs="Arial"/>
          <w:sz w:val="20"/>
          <w:szCs w:val="20"/>
        </w:rPr>
      </w:pPr>
    </w:p>
    <w:p w14:paraId="04CF7CE3" w14:textId="77777777" w:rsidR="00C249CD" w:rsidRPr="00CF2A7C" w:rsidRDefault="00C249CD" w:rsidP="00C249CD">
      <w:pPr>
        <w:spacing w:after="120"/>
        <w:rPr>
          <w:rFonts w:ascii="Whitney Light" w:hAnsi="Whitney Light"/>
          <w:sz w:val="20"/>
          <w:szCs w:val="20"/>
        </w:rPr>
      </w:pP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Please note, we </w:t>
      </w:r>
      <w:r w:rsidRPr="00CF2A7C">
        <w:rPr>
          <w:rFonts w:ascii="Whitney Light" w:eastAsia="Whitney Light" w:hAnsi="Whitney Light" w:cs="Whitney Light"/>
          <w:b/>
          <w:bCs/>
          <w:color w:val="000000" w:themeColor="text1"/>
          <w:sz w:val="20"/>
          <w:szCs w:val="20"/>
          <w:u w:val="single"/>
        </w:rPr>
        <w:t>do not</w:t>
      </w: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 accept payment by cheque. </w:t>
      </w:r>
      <w:r w:rsidRPr="00CF2A7C">
        <w:rPr>
          <w:rFonts w:ascii="Whitney Light" w:eastAsia="Whitney Light" w:hAnsi="Whitney Light" w:cs="Whitney Light"/>
          <w:sz w:val="20"/>
          <w:szCs w:val="20"/>
        </w:rPr>
        <w:t xml:space="preserve"> </w:t>
      </w:r>
    </w:p>
    <w:p w14:paraId="3CEB8E81" w14:textId="316C600E" w:rsidR="0024062B" w:rsidRPr="002B7821" w:rsidRDefault="00C249CD" w:rsidP="002B7821">
      <w:pPr>
        <w:rPr>
          <w:rFonts w:ascii="Whitney Light" w:eastAsia="Whitney Light" w:hAnsi="Whitney Light" w:cs="Whitney Light"/>
          <w:sz w:val="20"/>
          <w:szCs w:val="20"/>
        </w:rPr>
      </w:pP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Please send all correspondence relating to the transfer to </w:t>
      </w:r>
      <w:hyperlink r:id="rId10">
        <w:r w:rsidRPr="00CF2A7C">
          <w:rPr>
            <w:rStyle w:val="Hyperlink"/>
            <w:rFonts w:ascii="Whitney Light" w:eastAsia="Whitney Light" w:hAnsi="Whitney Light" w:cs="Whitney Light"/>
            <w:sz w:val="20"/>
            <w:szCs w:val="20"/>
          </w:rPr>
          <w:t>servicecentre@soderbergpartners.com.</w:t>
        </w:r>
      </w:hyperlink>
      <w:bookmarkEnd w:id="0"/>
    </w:p>
    <w:sectPr w:rsidR="0024062B" w:rsidRPr="002B7821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83F" w14:textId="77777777" w:rsidR="00A634B5" w:rsidRDefault="00A634B5" w:rsidP="00C11414">
      <w:r>
        <w:separator/>
      </w:r>
    </w:p>
  </w:endnote>
  <w:endnote w:type="continuationSeparator" w:id="0">
    <w:p w14:paraId="6FD1DA64" w14:textId="77777777" w:rsidR="00A634B5" w:rsidRDefault="00A634B5" w:rsidP="00C11414">
      <w:r>
        <w:continuationSeparator/>
      </w:r>
    </w:p>
  </w:endnote>
  <w:endnote w:type="continuationNotice" w:id="1">
    <w:p w14:paraId="79B4FCCF" w14:textId="77777777" w:rsidR="00A634B5" w:rsidRDefault="00A63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Light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Semibold"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68ED" w14:textId="77777777" w:rsidR="00A634B5" w:rsidRDefault="00A634B5" w:rsidP="00C11414">
      <w:r>
        <w:separator/>
      </w:r>
    </w:p>
  </w:footnote>
  <w:footnote w:type="continuationSeparator" w:id="0">
    <w:p w14:paraId="24A18ABB" w14:textId="77777777" w:rsidR="00A634B5" w:rsidRDefault="00A634B5" w:rsidP="00C11414">
      <w:r>
        <w:continuationSeparator/>
      </w:r>
    </w:p>
  </w:footnote>
  <w:footnote w:type="continuationNotice" w:id="1">
    <w:p w14:paraId="027F2104" w14:textId="77777777" w:rsidR="00A634B5" w:rsidRDefault="00A63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C4E" w14:textId="615C0032" w:rsidR="5C734DB9" w:rsidRDefault="008915E7" w:rsidP="008915E7">
    <w:pPr>
      <w:pStyle w:val="Header"/>
      <w:jc w:val="center"/>
      <w:rPr>
        <w:szCs w:val="21"/>
      </w:rPr>
    </w:pPr>
    <w:r>
      <w:rPr>
        <w:noProof/>
        <w:szCs w:val="21"/>
      </w:rPr>
      <w:drawing>
        <wp:inline distT="0" distB="0" distL="0" distR="0" wp14:anchorId="218072E8" wp14:editId="01B293FD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16451"/>
    <w:multiLevelType w:val="multilevel"/>
    <w:tmpl w:val="AC9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52B0"/>
    <w:multiLevelType w:val="multilevel"/>
    <w:tmpl w:val="D48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31B1"/>
    <w:multiLevelType w:val="multilevel"/>
    <w:tmpl w:val="3A1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A63F2"/>
    <w:multiLevelType w:val="hybridMultilevel"/>
    <w:tmpl w:val="FFD4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4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2"/>
  </w:num>
  <w:num w:numId="13" w16cid:durableId="1204562177">
    <w:abstractNumId w:val="10"/>
  </w:num>
  <w:num w:numId="14" w16cid:durableId="25765015">
    <w:abstractNumId w:val="11"/>
  </w:num>
  <w:num w:numId="15" w16cid:durableId="801731096">
    <w:abstractNumId w:val="13"/>
  </w:num>
  <w:num w:numId="16" w16cid:durableId="1225793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117E8"/>
    <w:rsid w:val="001205F5"/>
    <w:rsid w:val="001B5364"/>
    <w:rsid w:val="001E48B3"/>
    <w:rsid w:val="00202281"/>
    <w:rsid w:val="00212C18"/>
    <w:rsid w:val="00214268"/>
    <w:rsid w:val="00217613"/>
    <w:rsid w:val="002209DB"/>
    <w:rsid w:val="0024062B"/>
    <w:rsid w:val="002424B1"/>
    <w:rsid w:val="0026382F"/>
    <w:rsid w:val="002857F0"/>
    <w:rsid w:val="002A29F5"/>
    <w:rsid w:val="002A4091"/>
    <w:rsid w:val="002A79C2"/>
    <w:rsid w:val="002B7821"/>
    <w:rsid w:val="002D01C1"/>
    <w:rsid w:val="002E5706"/>
    <w:rsid w:val="002E75D0"/>
    <w:rsid w:val="00353433"/>
    <w:rsid w:val="003717D7"/>
    <w:rsid w:val="003820D2"/>
    <w:rsid w:val="0038315E"/>
    <w:rsid w:val="00423327"/>
    <w:rsid w:val="0045636B"/>
    <w:rsid w:val="00474F36"/>
    <w:rsid w:val="00495390"/>
    <w:rsid w:val="004A548F"/>
    <w:rsid w:val="004C1BD6"/>
    <w:rsid w:val="004E1035"/>
    <w:rsid w:val="00546422"/>
    <w:rsid w:val="00567C24"/>
    <w:rsid w:val="005B10C9"/>
    <w:rsid w:val="005B7D63"/>
    <w:rsid w:val="005D61AC"/>
    <w:rsid w:val="005F3D48"/>
    <w:rsid w:val="005F640A"/>
    <w:rsid w:val="005F7201"/>
    <w:rsid w:val="00686934"/>
    <w:rsid w:val="006B2327"/>
    <w:rsid w:val="006B2FAB"/>
    <w:rsid w:val="006B6285"/>
    <w:rsid w:val="007310FF"/>
    <w:rsid w:val="0076237D"/>
    <w:rsid w:val="00772920"/>
    <w:rsid w:val="00773827"/>
    <w:rsid w:val="00775475"/>
    <w:rsid w:val="007B36B0"/>
    <w:rsid w:val="007F01F2"/>
    <w:rsid w:val="007F0454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D0CF8"/>
    <w:rsid w:val="009E1FFA"/>
    <w:rsid w:val="009F5F3D"/>
    <w:rsid w:val="00A23166"/>
    <w:rsid w:val="00A23372"/>
    <w:rsid w:val="00A634B5"/>
    <w:rsid w:val="00A71B05"/>
    <w:rsid w:val="00A90321"/>
    <w:rsid w:val="00A93ABF"/>
    <w:rsid w:val="00AA619A"/>
    <w:rsid w:val="00AB080B"/>
    <w:rsid w:val="00B05AE2"/>
    <w:rsid w:val="00B10E8F"/>
    <w:rsid w:val="00B25726"/>
    <w:rsid w:val="00B3532D"/>
    <w:rsid w:val="00C10851"/>
    <w:rsid w:val="00C11414"/>
    <w:rsid w:val="00C249CD"/>
    <w:rsid w:val="00C44F13"/>
    <w:rsid w:val="00C60D09"/>
    <w:rsid w:val="00C75589"/>
    <w:rsid w:val="00CD2F4B"/>
    <w:rsid w:val="00CE4177"/>
    <w:rsid w:val="00D17FDE"/>
    <w:rsid w:val="00D21C56"/>
    <w:rsid w:val="00D42AB2"/>
    <w:rsid w:val="00D848C7"/>
    <w:rsid w:val="00E06ABB"/>
    <w:rsid w:val="00E82EB5"/>
    <w:rsid w:val="00EF283B"/>
    <w:rsid w:val="00F64430"/>
    <w:rsid w:val="00F75494"/>
    <w:rsid w:val="00F81883"/>
    <w:rsid w:val="00FE6C6B"/>
    <w:rsid w:val="00FF7845"/>
    <w:rsid w:val="02AD58C3"/>
    <w:rsid w:val="06696217"/>
    <w:rsid w:val="0ADCC509"/>
    <w:rsid w:val="0E2856D8"/>
    <w:rsid w:val="10BDC1C2"/>
    <w:rsid w:val="12769B65"/>
    <w:rsid w:val="1BB8BB38"/>
    <w:rsid w:val="1C4620AF"/>
    <w:rsid w:val="20A65399"/>
    <w:rsid w:val="23619AED"/>
    <w:rsid w:val="25947E78"/>
    <w:rsid w:val="27D8EEE6"/>
    <w:rsid w:val="2B244442"/>
    <w:rsid w:val="2D7801A1"/>
    <w:rsid w:val="2F383461"/>
    <w:rsid w:val="3315A2EF"/>
    <w:rsid w:val="34F1F746"/>
    <w:rsid w:val="412A0374"/>
    <w:rsid w:val="499DE05F"/>
    <w:rsid w:val="4A0124FD"/>
    <w:rsid w:val="4B068D83"/>
    <w:rsid w:val="4CFDE62F"/>
    <w:rsid w:val="4DB25F80"/>
    <w:rsid w:val="547FB586"/>
    <w:rsid w:val="5481ACF7"/>
    <w:rsid w:val="57C33042"/>
    <w:rsid w:val="5C734DB9"/>
    <w:rsid w:val="60CE375D"/>
    <w:rsid w:val="684CB439"/>
    <w:rsid w:val="69C893FF"/>
    <w:rsid w:val="6AD1AEB8"/>
    <w:rsid w:val="6AE9BB5A"/>
    <w:rsid w:val="6DE467E6"/>
    <w:rsid w:val="7220A5C9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4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2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1979</Characters>
  <Application>Microsoft Office Word</Application>
  <DocSecurity>4</DocSecurity>
  <Lines>131</Lines>
  <Paragraphs>55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2020-04-01T16:29:00Z</cp:lastPrinted>
  <dcterms:created xsi:type="dcterms:W3CDTF">2026-01-06T15:32:00Z</dcterms:created>
  <dcterms:modified xsi:type="dcterms:W3CDTF">2026-01-06T15:32:00Z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