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75EE" w14:textId="77777777" w:rsidR="00011076" w:rsidRPr="005F3D48" w:rsidRDefault="00011076" w:rsidP="0076237D">
      <w:pPr>
        <w:spacing w:after="120"/>
        <w:rPr>
          <w:rFonts w:ascii="Arial" w:hAnsi="Arial" w:cs="Arial"/>
          <w:b/>
          <w:bCs/>
          <w:sz w:val="28"/>
          <w:szCs w:val="36"/>
        </w:rPr>
      </w:pPr>
    </w:p>
    <w:p w14:paraId="66B1B799" w14:textId="259ACC00" w:rsidR="0086130E" w:rsidRPr="008915E7" w:rsidRDefault="009633E6" w:rsidP="0076237D">
      <w:pPr>
        <w:spacing w:after="120"/>
        <w:rPr>
          <w:rFonts w:ascii="Whitney Black" w:hAnsi="Whitney Black" w:cs="Arial"/>
          <w:b/>
          <w:bCs/>
          <w:sz w:val="28"/>
          <w:szCs w:val="28"/>
        </w:rPr>
      </w:pPr>
      <w:r w:rsidRPr="008915E7">
        <w:rPr>
          <w:rFonts w:ascii="Whitney Black" w:hAnsi="Whitney Black" w:cs="Arial"/>
          <w:b/>
          <w:bCs/>
          <w:sz w:val="28"/>
          <w:szCs w:val="28"/>
        </w:rPr>
        <w:t>GIA Transfer Form</w:t>
      </w:r>
    </w:p>
    <w:p w14:paraId="5AC74228" w14:textId="4023B804" w:rsidR="25947E78" w:rsidRPr="008915E7" w:rsidRDefault="25947E78" w:rsidP="25947E78">
      <w:pPr>
        <w:rPr>
          <w:rFonts w:ascii="Whitney Light" w:hAnsi="Whitney Light" w:cs="Arial"/>
        </w:rPr>
      </w:pPr>
      <w:r w:rsidRPr="008915E7">
        <w:rPr>
          <w:rFonts w:ascii="Whitney Light" w:hAnsi="Whitney Light"/>
        </w:rPr>
        <w:br/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This form lets you transfer an existing General Investment Account (GIA) into a GIA with </w:t>
      </w:r>
      <w:r w:rsid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Söderberg &amp; Partners Wealth Management. </w:t>
      </w:r>
      <w:r w:rsidRPr="008915E7">
        <w:rPr>
          <w:rFonts w:ascii="Whitney Light" w:hAnsi="Whitney Light"/>
        </w:rPr>
        <w:br/>
      </w:r>
      <w:r w:rsidRPr="008915E7">
        <w:rPr>
          <w:rFonts w:ascii="Whitney Light" w:hAnsi="Whitney Light"/>
        </w:rPr>
        <w:br/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Seccl Custody Limited (SCL) is the custodian in respect of the </w:t>
      </w:r>
      <w:r w:rsid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GIA. </w:t>
      </w:r>
    </w:p>
    <w:p w14:paraId="301DFADE" w14:textId="11602CE8" w:rsidR="25947E78" w:rsidRPr="008915E7" w:rsidRDefault="25947E78">
      <w:pPr>
        <w:rPr>
          <w:rFonts w:ascii="Whitney Light" w:hAnsi="Whitney Light"/>
        </w:rPr>
      </w:pPr>
      <w:r>
        <w:br/>
      </w:r>
      <w:r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If you do not already have a </w:t>
      </w:r>
      <w:r w:rsidR="008915E7"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>Söderberg &amp; Partners Wealth Management</w:t>
      </w:r>
      <w:r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  <w:r w:rsidR="12769B65"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>GIA,</w:t>
      </w:r>
      <w:r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you will need to apply for one before submitting this form.</w:t>
      </w:r>
    </w:p>
    <w:p w14:paraId="37F2A34E" w14:textId="18FC71C2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6C614BA4" w14:textId="023D2BCE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b/>
          <w:bCs/>
          <w:color w:val="000000" w:themeColor="text1"/>
          <w:sz w:val="21"/>
          <w:szCs w:val="21"/>
        </w:rPr>
        <w:t>Your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55"/>
        <w:gridCol w:w="5760"/>
      </w:tblGrid>
      <w:tr w:rsidR="25947E78" w:rsidRPr="008915E7" w14:paraId="374F090A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2B78E" w14:textId="52BB9F37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Title (if any)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B6981" w14:textId="2701DB2B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5BFDACEA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28BF4" w14:textId="32AE2E85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Full name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25746" w14:textId="6095F78D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345250EE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0A0F2" w14:textId="2A1D6845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National insurance number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9AC78" w14:textId="304A2E27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582F0767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0DC27" w14:textId="62127B94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Date of birth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75B69" w14:textId="29111B3B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7AF36D67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FB72E" w14:textId="2B79C30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Email address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54DCA" w14:textId="3E527C3D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5B532DFF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D802E" w14:textId="1B75592C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Permanent residential address</w:t>
            </w:r>
          </w:p>
          <w:p w14:paraId="358CC2C1" w14:textId="22BB1FF9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4E1D5225" w14:textId="62F09EEA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2ED4CC63" w14:textId="4C1C2573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6F95D" w14:textId="75C21F36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4C53A6CA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72D63" w14:textId="4FF6F373" w:rsidR="25947E78" w:rsidRPr="008915E7" w:rsidRDefault="008915E7">
            <w:pPr>
              <w:rPr>
                <w:rFonts w:ascii="Whitney Light" w:hAnsi="Whitney Light"/>
              </w:rPr>
            </w:pPr>
            <w:r w:rsidRPr="60CE375D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SPWM </w:t>
            </w:r>
            <w:r w:rsidR="25947E78" w:rsidRPr="60CE375D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reference / account ID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12B6B" w14:textId="5D987E8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6FB8A509" w14:textId="75DFB588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02ED25DC" w14:textId="6C8F0FE7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b/>
          <w:bCs/>
          <w:color w:val="000000" w:themeColor="text1"/>
          <w:sz w:val="21"/>
          <w:szCs w:val="21"/>
        </w:rPr>
        <w:t xml:space="preserve">GIA Transfer Authority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0"/>
        <w:gridCol w:w="5610"/>
      </w:tblGrid>
      <w:tr w:rsidR="25947E78" w:rsidRPr="008915E7" w14:paraId="031E9C2D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D966C" w14:textId="47462190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Current GIA provider 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EF9AF" w14:textId="3465966A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6316A511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42AA9" w14:textId="7EF8C96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Current GIA reference / account number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3292E" w14:textId="5E74F197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1293A41B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9C6F3" w14:textId="7462CF86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Partial or full transfer?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E282F" w14:textId="538544F3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15237DA7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73F30" w14:textId="3B3C0BC6" w:rsidR="25947E78" w:rsidRPr="008915E7" w:rsidRDefault="25947E78">
            <w:pPr>
              <w:rPr>
                <w:rFonts w:ascii="Whitney Light" w:hAnsi="Whitney Light"/>
              </w:rPr>
            </w:pPr>
            <w:r w:rsidRPr="7DBA790A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Amount to transfer 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91693" w14:textId="7825F4E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7460DF63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94640" w14:textId="5FA113E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In-specie or cash?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8A2E3" w14:textId="34482F75" w:rsidR="25947E78" w:rsidRPr="008915E7" w:rsidRDefault="25947E78">
            <w:pPr>
              <w:rPr>
                <w:rFonts w:ascii="Whitney Light" w:hAnsi="Whitney Light"/>
              </w:rPr>
            </w:pPr>
          </w:p>
        </w:tc>
      </w:tr>
    </w:tbl>
    <w:p w14:paraId="6365AD08" w14:textId="4C50FD0A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38C1AACE" w14:textId="725D3B45" w:rsidR="25947E78" w:rsidRPr="008915E7" w:rsidRDefault="25947E78">
      <w:pPr>
        <w:rPr>
          <w:rFonts w:ascii="Whitney Black" w:hAnsi="Whitney Black"/>
          <w:sz w:val="21"/>
          <w:szCs w:val="21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Declaration </w:t>
      </w:r>
    </w:p>
    <w:p w14:paraId="276B01A6" w14:textId="3705B6AE" w:rsidR="25947E78" w:rsidRPr="008915E7" w:rsidRDefault="25947E78" w:rsidP="25947E78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declare that: </w:t>
      </w:r>
    </w:p>
    <w:p w14:paraId="219F5DAC" w14:textId="03429ECF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have read and understood the </w:t>
      </w:r>
      <w:r w:rsidR="008915E7" w:rsidRPr="008915E7">
        <w:rPr>
          <w:rFonts w:ascii="Whitney Light" w:eastAsia="Arial" w:hAnsi="Whitney Light" w:cs="Arial"/>
          <w:szCs w:val="21"/>
        </w:rPr>
        <w:t>Söderberg &amp; Partners Wealth Management</w:t>
      </w:r>
      <w:r w:rsidRPr="008915E7">
        <w:rPr>
          <w:rFonts w:ascii="Whitney Light" w:eastAsia="Arial" w:hAnsi="Whitney Light" w:cs="Arial"/>
          <w:szCs w:val="21"/>
        </w:rPr>
        <w:t xml:space="preserve"> terms and </w:t>
      </w:r>
      <w:proofErr w:type="gramStart"/>
      <w:r w:rsidRPr="008915E7">
        <w:rPr>
          <w:rFonts w:ascii="Whitney Light" w:eastAsia="Arial" w:hAnsi="Whitney Light" w:cs="Arial"/>
          <w:szCs w:val="21"/>
        </w:rPr>
        <w:t>conditions;</w:t>
      </w:r>
      <w:proofErr w:type="gramEnd"/>
    </w:p>
    <w:p w14:paraId="00E2F900" w14:textId="58B341EE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give authority to </w:t>
      </w:r>
      <w:r w:rsidR="008915E7" w:rsidRPr="008915E7">
        <w:rPr>
          <w:rFonts w:ascii="Whitney Light" w:eastAsia="Arial" w:hAnsi="Whitney Light" w:cs="Arial"/>
          <w:szCs w:val="21"/>
        </w:rPr>
        <w:t>Söderberg &amp; Partners Wealth Management</w:t>
      </w:r>
      <w:r w:rsidRPr="008915E7">
        <w:rPr>
          <w:rFonts w:ascii="Whitney Light" w:eastAsia="Arial" w:hAnsi="Whitney Light" w:cs="Arial"/>
          <w:szCs w:val="21"/>
        </w:rPr>
        <w:t xml:space="preserve"> and the custodian (SCL) to transfer my </w:t>
      </w:r>
      <w:proofErr w:type="gramStart"/>
      <w:r w:rsidRPr="008915E7">
        <w:rPr>
          <w:rFonts w:ascii="Whitney Light" w:eastAsia="Arial" w:hAnsi="Whitney Light" w:cs="Arial"/>
          <w:szCs w:val="21"/>
        </w:rPr>
        <w:t>GIA;</w:t>
      </w:r>
      <w:proofErr w:type="gramEnd"/>
    </w:p>
    <w:p w14:paraId="2B532F39" w14:textId="2BE58E09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Information provided in this application is correct to the best of my knowledge. I will notify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 xml:space="preserve">of any changes to the information </w:t>
      </w:r>
      <w:proofErr w:type="gramStart"/>
      <w:r w:rsidRPr="008915E7">
        <w:rPr>
          <w:rFonts w:ascii="Whitney Light" w:eastAsia="Arial" w:hAnsi="Whitney Light" w:cs="Arial"/>
          <w:szCs w:val="21"/>
        </w:rPr>
        <w:t>provided;</w:t>
      </w:r>
      <w:proofErr w:type="gramEnd"/>
    </w:p>
    <w:p w14:paraId="58F59D07" w14:textId="51AEAD22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accept that </w:t>
      </w:r>
      <w:r w:rsidR="008915E7" w:rsidRPr="008915E7">
        <w:rPr>
          <w:rFonts w:ascii="Whitney Light" w:eastAsia="Arial" w:hAnsi="Whitney Light" w:cs="Arial"/>
          <w:szCs w:val="21"/>
        </w:rPr>
        <w:t>Söderberg &amp; Partners Wealth Management</w:t>
      </w:r>
      <w:r w:rsidRPr="008915E7">
        <w:rPr>
          <w:rFonts w:ascii="Whitney Light" w:eastAsia="Arial" w:hAnsi="Whitney Light" w:cs="Arial"/>
          <w:szCs w:val="21"/>
        </w:rPr>
        <w:t xml:space="preserve"> will not be liable to any losses incurred </w:t>
      </w:r>
      <w:proofErr w:type="gramStart"/>
      <w:r w:rsidRPr="008915E7">
        <w:rPr>
          <w:rFonts w:ascii="Whitney Light" w:eastAsia="Arial" w:hAnsi="Whitney Light" w:cs="Arial"/>
          <w:szCs w:val="21"/>
        </w:rPr>
        <w:t>as a result of</w:t>
      </w:r>
      <w:proofErr w:type="gramEnd"/>
      <w:r w:rsidRPr="008915E7">
        <w:rPr>
          <w:rFonts w:ascii="Whitney Light" w:eastAsia="Arial" w:hAnsi="Whitney Light" w:cs="Arial"/>
          <w:szCs w:val="21"/>
        </w:rPr>
        <w:t xml:space="preserve"> any delays in the transfer to my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proofErr w:type="gramStart"/>
      <w:r w:rsidRPr="008915E7">
        <w:rPr>
          <w:rFonts w:ascii="Whitney Light" w:eastAsia="Arial" w:hAnsi="Whitney Light" w:cs="Arial"/>
          <w:szCs w:val="21"/>
        </w:rPr>
        <w:t>GIA;</w:t>
      </w:r>
      <w:proofErr w:type="gramEnd"/>
    </w:p>
    <w:p w14:paraId="77AA136E" w14:textId="615C1C34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am the beneficial owner of any assets being transferred and will remain so once the asset </w:t>
      </w:r>
      <w:proofErr w:type="gramStart"/>
      <w:r w:rsidRPr="008915E7">
        <w:rPr>
          <w:rFonts w:ascii="Whitney Light" w:eastAsia="Arial" w:hAnsi="Whitney Light" w:cs="Arial"/>
          <w:szCs w:val="21"/>
        </w:rPr>
        <w:t>have</w:t>
      </w:r>
      <w:proofErr w:type="gramEnd"/>
      <w:r w:rsidRPr="008915E7">
        <w:rPr>
          <w:rFonts w:ascii="Whitney Light" w:eastAsia="Arial" w:hAnsi="Whitney Light" w:cs="Arial"/>
          <w:szCs w:val="21"/>
        </w:rPr>
        <w:t xml:space="preserve"> moved into the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proofErr w:type="gramStart"/>
      <w:r w:rsidRPr="008915E7">
        <w:rPr>
          <w:rFonts w:ascii="Whitney Light" w:eastAsia="Arial" w:hAnsi="Whitney Light" w:cs="Arial"/>
          <w:szCs w:val="21"/>
        </w:rPr>
        <w:t>GIA;</w:t>
      </w:r>
      <w:proofErr w:type="gramEnd"/>
    </w:p>
    <w:p w14:paraId="481193FF" w14:textId="5BF3C589" w:rsidR="25947E78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accept that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 xml:space="preserve">will not be liable to any costs or fees levied by the existing GIA </w:t>
      </w:r>
      <w:proofErr w:type="gramStart"/>
      <w:r w:rsidRPr="008915E7">
        <w:rPr>
          <w:rFonts w:ascii="Whitney Light" w:eastAsia="Arial" w:hAnsi="Whitney Light" w:cs="Arial"/>
          <w:szCs w:val="21"/>
        </w:rPr>
        <w:t>custodian;</w:t>
      </w:r>
      <w:proofErr w:type="gramEnd"/>
      <w:r w:rsidRPr="008915E7">
        <w:rPr>
          <w:rFonts w:ascii="Whitney Light" w:eastAsia="Arial" w:hAnsi="Whitney Light" w:cs="Arial"/>
          <w:szCs w:val="21"/>
        </w:rPr>
        <w:t xml:space="preserve"> </w:t>
      </w:r>
    </w:p>
    <w:p w14:paraId="21AEDB1C" w14:textId="77777777" w:rsidR="008915E7" w:rsidRPr="008915E7" w:rsidRDefault="008915E7" w:rsidP="008915E7">
      <w:pPr>
        <w:pStyle w:val="ListParagraph"/>
        <w:rPr>
          <w:rFonts w:ascii="Whitney Light" w:eastAsia="Arial" w:hAnsi="Whitney Light" w:cs="Arial"/>
          <w:szCs w:val="21"/>
        </w:rPr>
      </w:pPr>
    </w:p>
    <w:p w14:paraId="39A270A6" w14:textId="7AA30395" w:rsidR="25947E78" w:rsidRPr="008915E7" w:rsidRDefault="25947E78" w:rsidP="25947E78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>Transfer Instruction</w:t>
      </w:r>
    </w:p>
    <w:p w14:paraId="40BB2EAF" w14:textId="0A7818FF" w:rsidR="25947E78" w:rsidRPr="008915E7" w:rsidRDefault="25947E78" w:rsidP="25947E78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hereby authorise my existing GIA provider to: </w:t>
      </w:r>
    </w:p>
    <w:p w14:paraId="6A686E5E" w14:textId="3590AB78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Transfer my existing GIA as specified to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</w:t>
      </w:r>
      <w:proofErr w:type="gramStart"/>
      <w:r w:rsidR="008915E7" w:rsidRPr="008915E7">
        <w:rPr>
          <w:rFonts w:ascii="Whitney Light" w:eastAsia="Arial" w:hAnsi="Whitney Light" w:cs="Arial"/>
          <w:szCs w:val="21"/>
        </w:rPr>
        <w:t>Management</w:t>
      </w:r>
      <w:r w:rsidRPr="008915E7">
        <w:rPr>
          <w:rFonts w:ascii="Whitney Light" w:eastAsia="Arial" w:hAnsi="Whitney Light" w:cs="Arial"/>
          <w:szCs w:val="21"/>
        </w:rPr>
        <w:t>;</w:t>
      </w:r>
      <w:proofErr w:type="gramEnd"/>
    </w:p>
    <w:p w14:paraId="62979888" w14:textId="35A91443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Provide any information necessary to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 xml:space="preserve">and SCL to facilitate the </w:t>
      </w:r>
      <w:proofErr w:type="gramStart"/>
      <w:r w:rsidRPr="008915E7">
        <w:rPr>
          <w:rFonts w:ascii="Whitney Light" w:eastAsia="Arial" w:hAnsi="Whitney Light" w:cs="Arial"/>
          <w:szCs w:val="21"/>
        </w:rPr>
        <w:t>transfer;</w:t>
      </w:r>
      <w:proofErr w:type="gramEnd"/>
    </w:p>
    <w:p w14:paraId="7482E097" w14:textId="1938CE31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Cancel any direct debits currently in place with immediate </w:t>
      </w:r>
      <w:proofErr w:type="gramStart"/>
      <w:r w:rsidRPr="008915E7">
        <w:rPr>
          <w:rFonts w:ascii="Whitney Light" w:eastAsia="Arial" w:hAnsi="Whitney Light" w:cs="Arial"/>
          <w:szCs w:val="21"/>
        </w:rPr>
        <w:t>effect;</w:t>
      </w:r>
      <w:proofErr w:type="gramEnd"/>
    </w:p>
    <w:p w14:paraId="03F7C0C7" w14:textId="2B5B0F23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>Deduct any charges for the transfer as specified within your terms and conditions.</w:t>
      </w:r>
    </w:p>
    <w:p w14:paraId="16D730E6" w14:textId="2AE49848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557E4FF8" w14:textId="69D07D37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have read and agreed to the declaration above: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25947E78" w:rsidRPr="008915E7" w14:paraId="553AB893" w14:textId="77777777" w:rsidTr="60CE375D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45CBA" w14:textId="2018E6A6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Name 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9A873" w14:textId="6CAE80AA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2808EBFC" w14:textId="77777777" w:rsidTr="60CE375D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F9B80" w14:textId="514A79C0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0DF7C" w14:textId="46869664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184EC476" w14:textId="77777777" w:rsidTr="60CE375D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E92B6" w14:textId="5D737A3E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Signature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B78A2" w14:textId="781508A3" w:rsidR="25947E78" w:rsidRPr="008915E7" w:rsidRDefault="25947E78" w:rsidP="60CE375D">
            <w:pPr>
              <w:rPr>
                <w:rFonts w:ascii="Whitney Light" w:hAnsi="Whitney Light"/>
              </w:rPr>
            </w:pPr>
            <w:r w:rsidRPr="60CE375D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68D826DE" w14:textId="0132D9CB" w:rsidR="25947E78" w:rsidRPr="008915E7" w:rsidRDefault="25947E78" w:rsidP="60CE375D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  <w:p w14:paraId="4EEEFE62" w14:textId="0CF0A80E" w:rsidR="25947E78" w:rsidRPr="008915E7" w:rsidRDefault="25947E78" w:rsidP="60CE375D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</w:tc>
      </w:tr>
    </w:tbl>
    <w:p w14:paraId="1E58D6DB" w14:textId="474FDF34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 </w:t>
      </w:r>
    </w:p>
    <w:p w14:paraId="52BDD020" w14:textId="22221475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Transfer Acceptance </w:t>
      </w:r>
    </w:p>
    <w:p w14:paraId="73EB2400" w14:textId="7818AB73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i/>
          <w:iCs/>
          <w:color w:val="000000" w:themeColor="text1"/>
          <w:sz w:val="21"/>
          <w:szCs w:val="21"/>
        </w:rPr>
        <w:t xml:space="preserve">For the attention of the ceding provider. </w:t>
      </w:r>
    </w:p>
    <w:p w14:paraId="236B3111" w14:textId="0C77355B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3E121A9D" w14:textId="274D3EBA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Please make the payment to the following details: </w:t>
      </w:r>
    </w:p>
    <w:p w14:paraId="184EDB05" w14:textId="15749632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Account Name:            Seccl Custody </w:t>
      </w:r>
    </w:p>
    <w:p w14:paraId="411FBC74" w14:textId="55500E24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>Account Number:         17190968</w:t>
      </w:r>
    </w:p>
    <w:p w14:paraId="01211EA4" w14:textId="2AD39CCA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Sort Code:                  </w:t>
      </w:r>
      <w:r w:rsidR="00CE417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  </w:t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308012</w:t>
      </w:r>
    </w:p>
    <w:p w14:paraId="54D0E499" w14:textId="60D4681E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Payment Reference:     </w:t>
      </w:r>
      <w:r w:rsidR="00A6611D">
        <w:rPr>
          <w:rFonts w:ascii="Whitney Light" w:hAnsi="Whitney Light" w:cs="Arial"/>
          <w:sz w:val="20"/>
          <w:szCs w:val="20"/>
        </w:rPr>
        <w:t>SODBG-</w:t>
      </w:r>
      <w:r w:rsidR="00A6611D" w:rsidRPr="00C0007A">
        <w:rPr>
          <w:rFonts w:ascii="Whitney Light" w:hAnsi="Whitney Light" w:cs="Arial"/>
          <w:sz w:val="20"/>
          <w:szCs w:val="20"/>
          <w:highlight w:val="yellow"/>
        </w:rPr>
        <w:t>insert account ID</w:t>
      </w:r>
    </w:p>
    <w:p w14:paraId="0A0602E6" w14:textId="25F76A40" w:rsidR="25947E78" w:rsidRPr="008915E7" w:rsidRDefault="25947E78">
      <w:pPr>
        <w:rPr>
          <w:rFonts w:ascii="Whitney Light" w:hAnsi="Whitney Light"/>
        </w:rPr>
      </w:pPr>
      <w:r w:rsidRPr="60CE375D">
        <w:rPr>
          <w:rFonts w:ascii="Whitney Light" w:eastAsia="Arial" w:hAnsi="Whitney Light" w:cs="Arial"/>
          <w:b/>
          <w:bCs/>
          <w:color w:val="000000" w:themeColor="text1"/>
          <w:sz w:val="21"/>
          <w:szCs w:val="21"/>
        </w:rPr>
        <w:t xml:space="preserve"> </w:t>
      </w:r>
    </w:p>
    <w:p w14:paraId="36B4AAF4" w14:textId="1B7802E0" w:rsidR="5481ACF7" w:rsidRDefault="5481ACF7" w:rsidP="60CE375D">
      <w:pPr>
        <w:spacing w:after="120"/>
        <w:rPr>
          <w:rFonts w:ascii="Whitney Light" w:eastAsia="Whitney Light" w:hAnsi="Whitney Light" w:cs="Whitney Light"/>
          <w:color w:val="000000" w:themeColor="text1"/>
          <w:sz w:val="21"/>
          <w:szCs w:val="21"/>
        </w:rPr>
      </w:pP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Please note, we </w:t>
      </w: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  <w:u w:val="single"/>
        </w:rPr>
        <w:t>do not</w:t>
      </w: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 accept payment by cheque.  </w:t>
      </w:r>
    </w:p>
    <w:p w14:paraId="7A7140B5" w14:textId="00DFABC9" w:rsidR="5481ACF7" w:rsidRDefault="5481ACF7" w:rsidP="60CE375D">
      <w:pPr>
        <w:rPr>
          <w:rFonts w:ascii="Whitney Light" w:eastAsia="Whitney Light" w:hAnsi="Whitney Light" w:cs="Whitney Light"/>
          <w:color w:val="000000" w:themeColor="text1"/>
          <w:sz w:val="21"/>
          <w:szCs w:val="21"/>
        </w:rPr>
      </w:pP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Please send all correspondence relating to the transfer to </w:t>
      </w:r>
      <w:hyperlink r:id="rId10">
        <w:r w:rsidRPr="60CE375D">
          <w:rPr>
            <w:rStyle w:val="Hyperlink"/>
            <w:rFonts w:ascii="Whitney Light" w:eastAsia="Whitney Light" w:hAnsi="Whitney Light" w:cs="Whitney Light"/>
            <w:sz w:val="21"/>
            <w:szCs w:val="21"/>
          </w:rPr>
          <w:t>servicecentre@soderbergpartners.com.</w:t>
        </w:r>
      </w:hyperlink>
    </w:p>
    <w:p w14:paraId="299EB6E2" w14:textId="04A3F435" w:rsidR="60CE375D" w:rsidRDefault="60CE375D" w:rsidP="60CE375D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</w:p>
    <w:p w14:paraId="030837C9" w14:textId="4E2685E9" w:rsidR="25947E78" w:rsidRDefault="25947E78" w:rsidP="25947E78">
      <w:pPr>
        <w:spacing w:after="120"/>
        <w:rPr>
          <w:color w:val="000000" w:themeColor="text1"/>
        </w:rPr>
      </w:pPr>
    </w:p>
    <w:p w14:paraId="27D24D1A" w14:textId="49E4A1F5" w:rsidR="002A29F5" w:rsidRDefault="002A29F5" w:rsidP="0076237D">
      <w:pPr>
        <w:spacing w:after="120"/>
        <w:rPr>
          <w:rFonts w:ascii="Arial" w:hAnsi="Arial" w:cs="Arial"/>
        </w:rPr>
      </w:pPr>
    </w:p>
    <w:p w14:paraId="632600BB" w14:textId="43F6DFC6" w:rsidR="002A29F5" w:rsidRDefault="002A29F5" w:rsidP="0076237D">
      <w:pPr>
        <w:spacing w:after="120"/>
        <w:rPr>
          <w:rFonts w:ascii="Arial" w:hAnsi="Arial" w:cs="Arial"/>
        </w:rPr>
      </w:pPr>
    </w:p>
    <w:p w14:paraId="70F38099" w14:textId="48996D56" w:rsidR="002A29F5" w:rsidRDefault="002A29F5" w:rsidP="0076237D">
      <w:pPr>
        <w:spacing w:after="120"/>
        <w:rPr>
          <w:rFonts w:ascii="Arial" w:hAnsi="Arial" w:cs="Arial"/>
        </w:rPr>
      </w:pPr>
    </w:p>
    <w:p w14:paraId="41044A8B" w14:textId="5CAC8937" w:rsidR="002A29F5" w:rsidRDefault="002A29F5" w:rsidP="0076237D">
      <w:pPr>
        <w:spacing w:after="120"/>
        <w:rPr>
          <w:rFonts w:ascii="Arial" w:hAnsi="Arial" w:cs="Arial"/>
        </w:rPr>
      </w:pPr>
    </w:p>
    <w:p w14:paraId="3CEB8E81" w14:textId="77777777" w:rsidR="0024062B" w:rsidRPr="005F3D48" w:rsidRDefault="0024062B" w:rsidP="0076237D">
      <w:pPr>
        <w:spacing w:after="120"/>
        <w:rPr>
          <w:rFonts w:ascii="Arial" w:hAnsi="Arial" w:cs="Arial"/>
        </w:rPr>
      </w:pPr>
    </w:p>
    <w:sectPr w:rsidR="0024062B" w:rsidRPr="005F3D48" w:rsidSect="00474F36">
      <w:headerReference w:type="default" r:id="rId11"/>
      <w:footerReference w:type="default" r:id="rId12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9BF6" w14:textId="77777777" w:rsidR="00495390" w:rsidRDefault="00495390" w:rsidP="00C11414">
      <w:r>
        <w:separator/>
      </w:r>
    </w:p>
  </w:endnote>
  <w:endnote w:type="continuationSeparator" w:id="0">
    <w:p w14:paraId="75FFE56E" w14:textId="77777777" w:rsidR="00495390" w:rsidRDefault="00495390" w:rsidP="00C11414">
      <w:r>
        <w:continuationSeparator/>
      </w:r>
    </w:p>
  </w:endnote>
  <w:endnote w:type="continuationNotice" w:id="1">
    <w:p w14:paraId="08D495F8" w14:textId="77777777" w:rsidR="00495390" w:rsidRDefault="00495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 Headline Light">
    <w:altName w:val="Calibri"/>
    <w:charset w:val="4D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auto"/>
    <w:pitch w:val="variable"/>
    <w:sig w:usb0="A00002FF" w:usb1="4000004A" w:usb2="00000000" w:usb3="00000000" w:csb0="0000009F" w:csb1="00000000"/>
  </w:font>
  <w:font w:name="Whitney Light">
    <w:altName w:val="Cambria"/>
    <w:panose1 w:val="00000000000000000000"/>
    <w:charset w:val="00"/>
    <w:family w:val="auto"/>
    <w:pitch w:val="variable"/>
    <w:sig w:usb0="A00002FF" w:usb1="4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D51" w14:textId="58751A11" w:rsidR="008915E7" w:rsidRPr="007C6D42" w:rsidRDefault="4DB25F80" w:rsidP="008915E7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14:paraId="09909880" w14:textId="6324195C" w:rsidR="00353433" w:rsidRDefault="00353433" w:rsidP="009D0CF8">
    <w:pPr>
      <w:pStyle w:val="Footer"/>
    </w:pPr>
  </w:p>
  <w:p w14:paraId="5A4B903E" w14:textId="77777777" w:rsidR="00353433" w:rsidRDefault="00353433" w:rsidP="008613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8C9E" w14:textId="77777777" w:rsidR="00495390" w:rsidRDefault="00495390" w:rsidP="00C11414">
      <w:r>
        <w:separator/>
      </w:r>
    </w:p>
  </w:footnote>
  <w:footnote w:type="continuationSeparator" w:id="0">
    <w:p w14:paraId="0AD02903" w14:textId="77777777" w:rsidR="00495390" w:rsidRDefault="00495390" w:rsidP="00C11414">
      <w:r>
        <w:continuationSeparator/>
      </w:r>
    </w:p>
  </w:footnote>
  <w:footnote w:type="continuationNotice" w:id="1">
    <w:p w14:paraId="36AC3173" w14:textId="77777777" w:rsidR="00495390" w:rsidRDefault="00495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DC4E" w14:textId="615C0032" w:rsidR="5C734DB9" w:rsidRDefault="008915E7" w:rsidP="008915E7">
    <w:pPr>
      <w:pStyle w:val="Header"/>
      <w:jc w:val="center"/>
      <w:rPr>
        <w:szCs w:val="21"/>
      </w:rPr>
    </w:pPr>
    <w:r>
      <w:rPr>
        <w:noProof/>
        <w:szCs w:val="21"/>
      </w:rPr>
      <w:drawing>
        <wp:inline distT="0" distB="0" distL="0" distR="0" wp14:anchorId="218072E8" wp14:editId="01B293FD">
          <wp:extent cx="4134062" cy="800141"/>
          <wp:effectExtent l="0" t="0" r="0" b="0"/>
          <wp:docPr id="2" name="Picture 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4062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83E00"/>
    <w:multiLevelType w:val="hybridMultilevel"/>
    <w:tmpl w:val="7FE04308"/>
    <w:lvl w:ilvl="0" w:tplc="1A34C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A9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6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2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A8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8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2B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95798">
    <w:abstractNumId w:val="11"/>
  </w:num>
  <w:num w:numId="2" w16cid:durableId="947197296">
    <w:abstractNumId w:val="0"/>
  </w:num>
  <w:num w:numId="3" w16cid:durableId="693846869">
    <w:abstractNumId w:val="1"/>
  </w:num>
  <w:num w:numId="4" w16cid:durableId="435714143">
    <w:abstractNumId w:val="2"/>
  </w:num>
  <w:num w:numId="5" w16cid:durableId="1794446998">
    <w:abstractNumId w:val="3"/>
  </w:num>
  <w:num w:numId="6" w16cid:durableId="82535229">
    <w:abstractNumId w:val="8"/>
  </w:num>
  <w:num w:numId="7" w16cid:durableId="240456114">
    <w:abstractNumId w:val="4"/>
  </w:num>
  <w:num w:numId="8" w16cid:durableId="1114636701">
    <w:abstractNumId w:val="5"/>
  </w:num>
  <w:num w:numId="9" w16cid:durableId="2059277276">
    <w:abstractNumId w:val="6"/>
  </w:num>
  <w:num w:numId="10" w16cid:durableId="2124613401">
    <w:abstractNumId w:val="7"/>
  </w:num>
  <w:num w:numId="11" w16cid:durableId="399256125">
    <w:abstractNumId w:val="9"/>
  </w:num>
  <w:num w:numId="12" w16cid:durableId="154615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0C7B2D"/>
    <w:rsid w:val="001205F5"/>
    <w:rsid w:val="001B5364"/>
    <w:rsid w:val="001E48B3"/>
    <w:rsid w:val="00212C18"/>
    <w:rsid w:val="00214268"/>
    <w:rsid w:val="00217613"/>
    <w:rsid w:val="002209DB"/>
    <w:rsid w:val="0024062B"/>
    <w:rsid w:val="002424B1"/>
    <w:rsid w:val="002A29F5"/>
    <w:rsid w:val="002A4091"/>
    <w:rsid w:val="002E5706"/>
    <w:rsid w:val="002E75D0"/>
    <w:rsid w:val="00353433"/>
    <w:rsid w:val="003820D2"/>
    <w:rsid w:val="00421763"/>
    <w:rsid w:val="0045636B"/>
    <w:rsid w:val="00474F36"/>
    <w:rsid w:val="00495390"/>
    <w:rsid w:val="004A548F"/>
    <w:rsid w:val="004C1BD6"/>
    <w:rsid w:val="004E1035"/>
    <w:rsid w:val="00546422"/>
    <w:rsid w:val="00557F66"/>
    <w:rsid w:val="00567C24"/>
    <w:rsid w:val="005B10C9"/>
    <w:rsid w:val="005D61AC"/>
    <w:rsid w:val="005F3D48"/>
    <w:rsid w:val="00686934"/>
    <w:rsid w:val="006B2327"/>
    <w:rsid w:val="006B6285"/>
    <w:rsid w:val="006B6D06"/>
    <w:rsid w:val="007310FF"/>
    <w:rsid w:val="0076237D"/>
    <w:rsid w:val="00772920"/>
    <w:rsid w:val="00773827"/>
    <w:rsid w:val="00775475"/>
    <w:rsid w:val="007B36B0"/>
    <w:rsid w:val="007F01F2"/>
    <w:rsid w:val="00836BC3"/>
    <w:rsid w:val="0086130E"/>
    <w:rsid w:val="00864A84"/>
    <w:rsid w:val="008767D9"/>
    <w:rsid w:val="00877569"/>
    <w:rsid w:val="008915E7"/>
    <w:rsid w:val="00893CB8"/>
    <w:rsid w:val="008A657D"/>
    <w:rsid w:val="00907BCD"/>
    <w:rsid w:val="009633E6"/>
    <w:rsid w:val="009A12A6"/>
    <w:rsid w:val="009D0CF8"/>
    <w:rsid w:val="009E1FFA"/>
    <w:rsid w:val="009F5F3D"/>
    <w:rsid w:val="00A6611D"/>
    <w:rsid w:val="00A93ABF"/>
    <w:rsid w:val="00AA619A"/>
    <w:rsid w:val="00AB080B"/>
    <w:rsid w:val="00B05AE2"/>
    <w:rsid w:val="00B10E8F"/>
    <w:rsid w:val="00B25726"/>
    <w:rsid w:val="00B3532D"/>
    <w:rsid w:val="00B76070"/>
    <w:rsid w:val="00C10851"/>
    <w:rsid w:val="00C11414"/>
    <w:rsid w:val="00C44F13"/>
    <w:rsid w:val="00C60D09"/>
    <w:rsid w:val="00CE4177"/>
    <w:rsid w:val="00D17FDE"/>
    <w:rsid w:val="00D21C56"/>
    <w:rsid w:val="00D42AB2"/>
    <w:rsid w:val="00D848C7"/>
    <w:rsid w:val="00E06ABB"/>
    <w:rsid w:val="00E859FF"/>
    <w:rsid w:val="00EF283B"/>
    <w:rsid w:val="00F64430"/>
    <w:rsid w:val="00F75494"/>
    <w:rsid w:val="00F81883"/>
    <w:rsid w:val="00FE6C6B"/>
    <w:rsid w:val="00FF7845"/>
    <w:rsid w:val="0ADCC509"/>
    <w:rsid w:val="10BDC1C2"/>
    <w:rsid w:val="12769B65"/>
    <w:rsid w:val="1BB8BB38"/>
    <w:rsid w:val="1C4620AF"/>
    <w:rsid w:val="23619AED"/>
    <w:rsid w:val="25947E78"/>
    <w:rsid w:val="2F383461"/>
    <w:rsid w:val="3315A2EF"/>
    <w:rsid w:val="34F1F746"/>
    <w:rsid w:val="412A0374"/>
    <w:rsid w:val="4A0124FD"/>
    <w:rsid w:val="4DB25F80"/>
    <w:rsid w:val="547FB586"/>
    <w:rsid w:val="5481ACF7"/>
    <w:rsid w:val="57C33042"/>
    <w:rsid w:val="5C734DB9"/>
    <w:rsid w:val="60CE375D"/>
    <w:rsid w:val="684CB439"/>
    <w:rsid w:val="69C893FF"/>
    <w:rsid w:val="6AE9BB5A"/>
    <w:rsid w:val="7220A5C9"/>
    <w:rsid w:val="72FEF1E2"/>
    <w:rsid w:val="773BC313"/>
    <w:rsid w:val="7C3BD38B"/>
    <w:rsid w:val="7DB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98FC4C54-1A96-4099-8217-0E7E9FA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eastAsia="Calibri" w:hAnsi="Co Headline Light"/>
      <w:iCs/>
      <w:color w:val="4BBCDF"/>
      <w:sz w:val="21"/>
      <w:lang w:eastAsia="en-US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eastAsia="Calibri" w:hAnsi="Arial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soderbergpartner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6a646887ccbd4a276bc0fdcd1ef9852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a6fc1022275aa8aa7f61deda1f08e0c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Props1.xml><?xml version="1.0" encoding="utf-8"?>
<ds:datastoreItem xmlns:ds="http://schemas.openxmlformats.org/officeDocument/2006/customXml" ds:itemID="{B3667B3B-01B3-4279-BB3B-30D1925C8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56abd02c-6d23-45c7-bc08-4974e9598f5b"/>
    <ds:schemaRef ds:uri="7cd89968-328d-4776-b821-91ab313fe2c9"/>
    <ds:schemaRef ds:uri="6cc021bd-623f-4916-b409-ca8b681aeecd"/>
    <ds:schemaRef ds:uri="d7904a8c-5e9e-4d4d-a2f5-916cbf9963f5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2042</Characters>
  <Application>Microsoft Office Word</Application>
  <DocSecurity>0</DocSecurity>
  <Lines>94</Lines>
  <Paragraphs>44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Williams</cp:lastModifiedBy>
  <cp:revision>3</cp:revision>
  <cp:lastPrinted>2020-04-01T16:29:00Z</cp:lastPrinted>
  <dcterms:created xsi:type="dcterms:W3CDTF">2026-02-04T11:54:00Z</dcterms:created>
  <dcterms:modified xsi:type="dcterms:W3CDTF">2026-02-04T11:55:00Z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